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cs="Arial"/>
          <w:szCs w:val="24"/>
        </w:rPr>
      </w:pPr>
    </w:p>
    <w:p>
      <w:pPr>
        <w:spacing w:after="240"/>
        <w:rPr>
          <w:rFonts w:cs="Arial"/>
          <w:sz w:val="22"/>
          <w:szCs w:val="22"/>
        </w:rPr>
      </w:pPr>
    </w:p>
    <w:p>
      <w:pPr>
        <w:spacing w:after="240"/>
        <w:rPr>
          <w:rFonts w:cs="Arial"/>
          <w:b/>
          <w:szCs w:val="24"/>
        </w:rPr>
      </w:pPr>
      <w:r>
        <w:rPr>
          <w:rFonts w:cs="Arial"/>
          <w:b/>
          <w:szCs w:val="24"/>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-19050</wp:posOffset>
                </wp:positionV>
                <wp:extent cx="6581775" cy="8702675"/>
                <wp:effectExtent l="38100" t="38100" r="47625" b="412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6581775" cy="8702675"/>
                        </a:xfrm>
                        <a:prstGeom prst="rect">
                          <a:avLst/>
                        </a:prstGeom>
                        <a:solidFill>
                          <a:srgbClr val="FFFFFF"/>
                        </a:solidFill>
                        <a:ln w="76200" cmpd="tri">
                          <a:solidFill>
                            <a:srgbClr val="000000"/>
                          </a:solidFill>
                          <a:miter lim="800000"/>
                        </a:ln>
                      </wps:spPr>
                      <wps:txbx>
                        <w:txbxContent>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sz w:val="48"/>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Times New Roman Regular" w:hAnsi="Times New Roman Regular"/>
                                <w:b/>
                                <w:sz w:val="48"/>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Times New Roman Regular" w:hAnsi="Times New Roman Regular"/>
                                <w:b/>
                                <w:sz w:val="48"/>
                              </w:rPr>
                            </w:pPr>
                            <w:r>
                              <w:drawing>
                                <wp:inline distT="0" distB="0" distL="0" distR="0">
                                  <wp:extent cx="3276600" cy="2050415"/>
                                  <wp:effectExtent l="0" t="0" r="0" b="6985"/>
                                  <wp:docPr id="46" name="Picture 46"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intranet/about/Document%20library/Branding/Luton%20logo%20pur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6600" cy="2050473"/>
                                          </a:xfrm>
                                          <a:prstGeom prst="rect">
                                            <a:avLst/>
                                          </a:prstGeom>
                                          <a:noFill/>
                                          <a:ln>
                                            <a:noFill/>
                                          </a:ln>
                                        </pic:spPr>
                                      </pic:pic>
                                    </a:graphicData>
                                  </a:graphic>
                                </wp:inline>
                              </w:drawing>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Times New Roman Regular" w:hAnsi="Times New Roman Regular"/>
                                <w:b/>
                                <w:sz w:val="48"/>
                              </w:rPr>
                            </w:pPr>
                          </w:p>
                          <w:p>
                            <w:pPr>
                              <w:pStyle w:val="13"/>
                              <w:spacing w:line="240" w:lineRule="auto"/>
                            </w:pPr>
                            <w:r>
                              <w:t>MODEL SAFEGUARDING AND CHILD PROTECTION POLICY FOR EARLY YEARS SETTINGS</w:t>
                            </w:r>
                          </w:p>
                          <w:p>
                            <w:pPr>
                              <w:pStyle w:val="13"/>
                              <w:spacing w:line="240" w:lineRule="auto"/>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r>
                              <w:rPr>
                                <w:rFonts w:ascii="Times New Roman Regular" w:hAnsi="Times New Roman Regular"/>
                                <w:b/>
                              </w:rPr>
                              <w:t>September 2020</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r>
                              <w:rPr>
                                <w:rFonts w:ascii="Times New Roman Regular" w:hAnsi="Times New Roman Regular"/>
                                <w:b/>
                              </w:rPr>
                              <w:t xml:space="preserve">September 2020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r>
                              <w:rPr>
                                <w:rFonts w:ascii="Times New Roman Regular" w:hAnsi="Times New Roman Regular"/>
                                <w:b/>
                              </w:rPr>
                              <w:t>(Disseminated)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spacing w:line="240" w:lineRule="auto"/>
                              <w:rPr>
                                <w:b/>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9pt;margin-top:-1.5pt;height:685.25pt;width:518.25pt;z-index:251659264;mso-width-relative:page;mso-height-relative:page;" fillcolor="#FFFFFF" filled="t" stroked="t" coordsize="21600,21600" o:gfxdata="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WoXg2AAAAAsBAAAPAAAAAAAAAAEAIAAAACIAAABkcnMvZG93bnJl&#10;di54bWxQSwECFAAUAAAACACHTuJAFA6VtTYCAACTBAAADgAAAAAAAAABACAAAAAnAQAAZHJzL2Uy&#10;b0RvYy54bWxQSwUGAAAAAAYABgBZAQAAzwUAAAAA&#10;">
                <v:fill on="t" focussize="0,0"/>
                <v:stroke weight="6pt" color="#000000" linestyle="thickBetweenThin" miterlimit="8" joinstyle="miter"/>
                <v:imagedata o:title=""/>
                <o:lock v:ext="edit" aspectratio="f"/>
                <v:textbox>
                  <w:txbxContent>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sz w:val="48"/>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Times New Roman Regular" w:hAnsi="Times New Roman Regular"/>
                          <w:b/>
                          <w:sz w:val="48"/>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Times New Roman Regular" w:hAnsi="Times New Roman Regular"/>
                          <w:b/>
                          <w:sz w:val="48"/>
                        </w:rPr>
                      </w:pPr>
                      <w:r>
                        <w:drawing>
                          <wp:inline distT="0" distB="0" distL="0" distR="0">
                            <wp:extent cx="3276600" cy="2050415"/>
                            <wp:effectExtent l="0" t="0" r="0" b="6985"/>
                            <wp:docPr id="46" name="Picture 46"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intranet/about/Document%20library/Branding/Luton%20logo%20pur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76600" cy="2050473"/>
                                    </a:xfrm>
                                    <a:prstGeom prst="rect">
                                      <a:avLst/>
                                    </a:prstGeom>
                                    <a:noFill/>
                                    <a:ln>
                                      <a:noFill/>
                                    </a:ln>
                                  </pic:spPr>
                                </pic:pic>
                              </a:graphicData>
                            </a:graphic>
                          </wp:inline>
                        </w:drawing>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rFonts w:ascii="Times New Roman Regular" w:hAnsi="Times New Roman Regular"/>
                          <w:b/>
                          <w:sz w:val="48"/>
                        </w:rPr>
                      </w:pPr>
                    </w:p>
                    <w:p>
                      <w:pPr>
                        <w:pStyle w:val="13"/>
                        <w:spacing w:line="240" w:lineRule="auto"/>
                      </w:pPr>
                      <w:r>
                        <w:t>MODEL SAFEGUARDING AND CHILD PROTECTION POLICY FOR EARLY YEARS SETTINGS</w:t>
                      </w:r>
                    </w:p>
                    <w:p>
                      <w:pPr>
                        <w:pStyle w:val="13"/>
                        <w:spacing w:line="240" w:lineRule="auto"/>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r>
                        <w:rPr>
                          <w:rFonts w:ascii="Times New Roman Regular" w:hAnsi="Times New Roman Regular"/>
                          <w:b/>
                        </w:rPr>
                        <w:t>September 2020</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r>
                        <w:rPr>
                          <w:rFonts w:ascii="Times New Roman Regular" w:hAnsi="Times New Roman Regular"/>
                          <w:b/>
                        </w:rPr>
                        <w:t xml:space="preserve">September 2020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r>
                        <w:rPr>
                          <w:rFonts w:ascii="Times New Roman Regular" w:hAnsi="Times New Roman Regular"/>
                          <w:b/>
                        </w:rPr>
                        <w:t>(Disseminated)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rFonts w:ascii="Times New Roman Regular" w:hAnsi="Times New Roman Regular"/>
                          <w:b/>
                        </w:rPr>
                      </w:pPr>
                    </w:p>
                    <w:p>
                      <w:pPr>
                        <w:spacing w:line="240" w:lineRule="auto"/>
                        <w:rPr>
                          <w:b/>
                          <w:sz w:val="32"/>
                          <w:szCs w:val="32"/>
                        </w:rPr>
                      </w:pPr>
                    </w:p>
                  </w:txbxContent>
                </v:textbox>
              </v:shape>
            </w:pict>
          </mc:Fallback>
        </mc:AlternateContent>
      </w:r>
    </w:p>
    <w:p>
      <w:pPr>
        <w:spacing w:after="240"/>
        <w:jc w:val="center"/>
        <w:rPr>
          <w:rFonts w:cs="Arial"/>
          <w:b/>
          <w:szCs w:val="24"/>
        </w:rPr>
      </w:pPr>
    </w:p>
    <w:p>
      <w:pPr>
        <w:spacing w:after="240"/>
        <w:jc w:val="center"/>
        <w:rPr>
          <w:rFonts w:cs="Arial"/>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jc w:val="center"/>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rPr>
          <w:rFonts w:cs="Arial"/>
          <w:b/>
          <w:szCs w:val="24"/>
        </w:rPr>
      </w:pPr>
    </w:p>
    <w:p>
      <w:pPr>
        <w:pStyle w:val="3"/>
        <w:spacing w:after="240"/>
        <w:jc w:val="center"/>
      </w:pPr>
    </w:p>
    <w:sdt>
      <w:sdtPr>
        <w:rPr>
          <w:rFonts w:ascii="Arial" w:hAnsi="Arial" w:eastAsia="Times New Roman" w:cs="Times New Roman"/>
          <w:b w:val="0"/>
          <w:bCs w:val="0"/>
          <w:color w:val="auto"/>
          <w:sz w:val="24"/>
          <w:szCs w:val="20"/>
          <w:lang w:val="en-GB" w:eastAsia="en-GB"/>
        </w:rPr>
        <w:id w:val="450059685"/>
        <w:docPartObj>
          <w:docPartGallery w:val="Table of Contents"/>
          <w:docPartUnique/>
        </w:docPartObj>
      </w:sdtPr>
      <w:sdtEndPr>
        <w:rPr>
          <w:rFonts w:ascii="Arial" w:hAnsi="Arial" w:eastAsia="Times New Roman" w:cs="Times New Roman"/>
          <w:b w:val="0"/>
          <w:bCs w:val="0"/>
          <w:color w:val="auto"/>
          <w:sz w:val="24"/>
          <w:szCs w:val="20"/>
          <w:lang w:val="en-GB" w:eastAsia="en-GB"/>
        </w:rPr>
      </w:sdtEndPr>
      <w:sdtContent>
        <w:p>
          <w:pPr>
            <w:pStyle w:val="68"/>
          </w:pPr>
          <w:r>
            <w:t>Contents</w:t>
          </w:r>
        </w:p>
        <w:p>
          <w:pPr>
            <w:pStyle w:val="33"/>
            <w:tabs>
              <w:tab w:val="right" w:leader="dot" w:pos="9758"/>
            </w:tabs>
            <w:rPr>
              <w:rFonts w:asciiTheme="minorHAnsi" w:hAnsiTheme="minorHAnsi"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"_Toc49500847" </w:instrText>
          </w:r>
          <w:r>
            <w:fldChar w:fldCharType="separate"/>
          </w:r>
          <w:r>
            <w:rPr>
              <w:rStyle w:val="26"/>
            </w:rPr>
            <w:t>Introduction</w:t>
          </w:r>
          <w:r>
            <w:tab/>
          </w:r>
          <w:r>
            <w:fldChar w:fldCharType="begin"/>
          </w:r>
          <w:r>
            <w:instrText xml:space="preserve"> PAGEREF _Toc49500847 \h </w:instrText>
          </w:r>
          <w:r>
            <w:fldChar w:fldCharType="separate"/>
          </w:r>
          <w:r>
            <w:t>4</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"_Toc49500848" </w:instrText>
          </w:r>
          <w:r>
            <w:fldChar w:fldCharType="separate"/>
          </w:r>
          <w:r>
            <w:rPr>
              <w:rStyle w:val="26"/>
              <w:rFonts w:cs="Arial"/>
            </w:rPr>
            <w:t>The Designated Safeguarding Officer (DSO)</w:t>
          </w:r>
          <w:r>
            <w:tab/>
          </w:r>
          <w:r>
            <w:fldChar w:fldCharType="begin"/>
          </w:r>
          <w:r>
            <w:instrText xml:space="preserve"> PAGEREF _Toc49500848 \h </w:instrText>
          </w:r>
          <w:r>
            <w:fldChar w:fldCharType="separate"/>
          </w:r>
          <w:r>
            <w:t>6</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"_Toc49500849" </w:instrText>
          </w:r>
          <w:r>
            <w:fldChar w:fldCharType="separate"/>
          </w:r>
          <w:r>
            <w:rPr>
              <w:rStyle w:val="26"/>
            </w:rPr>
            <w:t>Safer Recruitment</w:t>
          </w:r>
          <w:r>
            <w:tab/>
          </w:r>
          <w:r>
            <w:fldChar w:fldCharType="begin"/>
          </w:r>
          <w:r>
            <w:instrText xml:space="preserve"> PAGEREF _Toc49500849 \h </w:instrText>
          </w:r>
          <w:r>
            <w:fldChar w:fldCharType="separate"/>
          </w:r>
          <w:r>
            <w:t>8</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"_Toc49500850" </w:instrText>
          </w:r>
          <w:r>
            <w:fldChar w:fldCharType="separate"/>
          </w:r>
          <w:r>
            <w:rPr>
              <w:rStyle w:val="26"/>
              <w:rFonts w:eastAsiaTheme="minorHAnsi"/>
              <w:lang w:eastAsia="en-US"/>
            </w:rPr>
            <w:t>Our role in the prevention of abuse</w:t>
          </w:r>
          <w:r>
            <w:tab/>
          </w:r>
          <w:r>
            <w:fldChar w:fldCharType="begin"/>
          </w:r>
          <w:r>
            <w:instrText xml:space="preserve"> PAGEREF _Toc49500850 \h </w:instrText>
          </w:r>
          <w:r>
            <w:fldChar w:fldCharType="separate"/>
          </w:r>
          <w:r>
            <w:t>8</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"_Toc49500851" </w:instrText>
          </w:r>
          <w:r>
            <w:fldChar w:fldCharType="separate"/>
          </w:r>
          <w:r>
            <w:rPr>
              <w:rStyle w:val="26"/>
              <w:rFonts w:eastAsiaTheme="minorHAnsi"/>
              <w:lang w:eastAsia="en-US"/>
            </w:rPr>
            <w:t>Key processes</w:t>
          </w:r>
          <w:r>
            <w:tab/>
          </w:r>
          <w:r>
            <w:fldChar w:fldCharType="begin"/>
          </w:r>
          <w:r>
            <w:instrText xml:space="preserve"> PAGEREF _Toc49500851 \h </w:instrText>
          </w:r>
          <w:r>
            <w:fldChar w:fldCharType="separate"/>
          </w:r>
          <w:r>
            <w:t>10</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"_Toc49500852" </w:instrText>
          </w:r>
          <w:r>
            <w:fldChar w:fldCharType="separate"/>
          </w:r>
          <w:r>
            <w:rPr>
              <w:rStyle w:val="26"/>
            </w:rPr>
            <w:t>A safer culture</w:t>
          </w:r>
          <w:r>
            <w:tab/>
          </w:r>
          <w:r>
            <w:fldChar w:fldCharType="begin"/>
          </w:r>
          <w:r>
            <w:instrText xml:space="preserve"> PAGEREF _Toc49500852 \h </w:instrText>
          </w:r>
          <w:r>
            <w:fldChar w:fldCharType="separate"/>
          </w:r>
          <w:r>
            <w:t>11</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"_Toc49500853" </w:instrText>
          </w:r>
          <w:r>
            <w:fldChar w:fldCharType="separate"/>
          </w:r>
          <w:r>
            <w:rPr>
              <w:rStyle w:val="26"/>
            </w:rPr>
            <w:t>Safeguarding in specific circumstances</w:t>
          </w:r>
          <w:r>
            <w:tab/>
          </w:r>
          <w:r>
            <w:fldChar w:fldCharType="begin"/>
          </w:r>
          <w:r>
            <w:instrText xml:space="preserve"> PAGEREF _Toc49500853 \h </w:instrText>
          </w:r>
          <w:r>
            <w:fldChar w:fldCharType="separate"/>
          </w:r>
          <w:r>
            <w:t>12</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"_Toc49500854" </w:instrText>
          </w:r>
          <w:r>
            <w:fldChar w:fldCharType="separate"/>
          </w:r>
          <w:r>
            <w:rPr>
              <w:rStyle w:val="26"/>
            </w:rPr>
            <w:t>Sexualised behaviours</w:t>
          </w:r>
          <w:r>
            <w:tab/>
          </w:r>
          <w:r>
            <w:fldChar w:fldCharType="begin"/>
          </w:r>
          <w:r>
            <w:instrText xml:space="preserve"> PAGEREF _Toc49500854 \h </w:instrText>
          </w:r>
          <w:r>
            <w:fldChar w:fldCharType="separate"/>
          </w:r>
          <w:r>
            <w:t>12</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"_Toc49500855" </w:instrText>
          </w:r>
          <w:r>
            <w:fldChar w:fldCharType="separate"/>
          </w:r>
          <w:r>
            <w:rPr>
              <w:rStyle w:val="26"/>
            </w:rPr>
            <w:t>Child Sexual Exploitation (CSE) and Criminal Exploitation (CCE)</w:t>
          </w:r>
          <w:r>
            <w:tab/>
          </w:r>
          <w:r>
            <w:fldChar w:fldCharType="begin"/>
          </w:r>
          <w:r>
            <w:instrText xml:space="preserve"> PAGEREF _Toc49500855 \h </w:instrText>
          </w:r>
          <w:r>
            <w:fldChar w:fldCharType="separate"/>
          </w:r>
          <w:r>
            <w:t>12</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"_Toc49500856" </w:instrText>
          </w:r>
          <w:r>
            <w:fldChar w:fldCharType="separate"/>
          </w:r>
          <w:r>
            <w:rPr>
              <w:rStyle w:val="26"/>
            </w:rPr>
            <w:t>Female Genital Mutilation</w:t>
          </w:r>
          <w:r>
            <w:tab/>
          </w:r>
          <w:r>
            <w:fldChar w:fldCharType="begin"/>
          </w:r>
          <w:r>
            <w:instrText xml:space="preserve"> PAGEREF _Toc49500856 \h </w:instrText>
          </w:r>
          <w:r>
            <w:fldChar w:fldCharType="separate"/>
          </w:r>
          <w:r>
            <w:t>13</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"_Toc49500857" </w:instrText>
          </w:r>
          <w:r>
            <w:fldChar w:fldCharType="separate"/>
          </w:r>
          <w:r>
            <w:rPr>
              <w:rStyle w:val="26"/>
            </w:rPr>
            <w:t>Forced marriage</w:t>
          </w:r>
          <w:r>
            <w:tab/>
          </w:r>
          <w:r>
            <w:fldChar w:fldCharType="begin"/>
          </w:r>
          <w:r>
            <w:instrText xml:space="preserve"> PAGEREF _Toc49500857 \h </w:instrText>
          </w:r>
          <w:r>
            <w:fldChar w:fldCharType="separate"/>
          </w:r>
          <w:r>
            <w:t>14</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"_Toc49500858" </w:instrText>
          </w:r>
          <w:r>
            <w:fldChar w:fldCharType="separate"/>
          </w:r>
          <w:r>
            <w:rPr>
              <w:rStyle w:val="26"/>
              <w:lang w:val="en"/>
            </w:rPr>
            <w:t>Modern slavery</w:t>
          </w:r>
          <w:r>
            <w:tab/>
          </w:r>
          <w:r>
            <w:fldChar w:fldCharType="begin"/>
          </w:r>
          <w:r>
            <w:instrText xml:space="preserve"> PAGEREF _Toc49500858 \h </w:instrText>
          </w:r>
          <w:r>
            <w:fldChar w:fldCharType="separate"/>
          </w:r>
          <w:r>
            <w:t>14</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"_Toc49500859" </w:instrText>
          </w:r>
          <w:r>
            <w:fldChar w:fldCharType="separate"/>
          </w:r>
          <w:r>
            <w:rPr>
              <w:rStyle w:val="26"/>
            </w:rPr>
            <w:t>Types of human trafficking</w:t>
          </w:r>
          <w:r>
            <w:tab/>
          </w:r>
          <w:r>
            <w:fldChar w:fldCharType="begin"/>
          </w:r>
          <w:r>
            <w:instrText xml:space="preserve"> PAGEREF _Toc49500859 \h </w:instrText>
          </w:r>
          <w:r>
            <w:fldChar w:fldCharType="separate"/>
          </w:r>
          <w:r>
            <w:t>14</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"_Toc49500860" </w:instrText>
          </w:r>
          <w:r>
            <w:fldChar w:fldCharType="separate"/>
          </w:r>
          <w:r>
            <w:rPr>
              <w:rStyle w:val="26"/>
              <w:lang w:val="en"/>
            </w:rPr>
            <w:t>Children vulnerable to extremism</w:t>
          </w:r>
          <w:r>
            <w:tab/>
          </w:r>
          <w:r>
            <w:fldChar w:fldCharType="begin"/>
          </w:r>
          <w:r>
            <w:instrText xml:space="preserve"> PAGEREF _Toc49500860 \h </w:instrText>
          </w:r>
          <w:r>
            <w:fldChar w:fldCharType="separate"/>
          </w:r>
          <w:r>
            <w:t>15</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"_Toc49500861" </w:instrText>
          </w:r>
          <w:r>
            <w:fldChar w:fldCharType="separate"/>
          </w:r>
          <w:r>
            <w:rPr>
              <w:rStyle w:val="26"/>
              <w:rFonts w:eastAsiaTheme="minorHAnsi"/>
              <w:lang w:eastAsia="en-US"/>
            </w:rPr>
            <w:t>Online Safety</w:t>
          </w:r>
          <w:r>
            <w:tab/>
          </w:r>
          <w:r>
            <w:fldChar w:fldCharType="begin"/>
          </w:r>
          <w:r>
            <w:instrText xml:space="preserve"> PAGEREF _Toc49500861 \h </w:instrText>
          </w:r>
          <w:r>
            <w:fldChar w:fldCharType="separate"/>
          </w:r>
          <w:r>
            <w:t>17</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"_Toc49500862" </w:instrText>
          </w:r>
          <w:r>
            <w:fldChar w:fldCharType="separate"/>
          </w:r>
          <w:r>
            <w:rPr>
              <w:rStyle w:val="26"/>
            </w:rPr>
            <w:t>Safeguarding in specific circumstances list</w:t>
          </w:r>
          <w:r>
            <w:tab/>
          </w:r>
          <w:r>
            <w:fldChar w:fldCharType="begin"/>
          </w:r>
          <w:r>
            <w:instrText xml:space="preserve"> PAGEREF _Toc49500862 \h </w:instrText>
          </w:r>
          <w:r>
            <w:fldChar w:fldCharType="separate"/>
          </w:r>
          <w:r>
            <w:t>17</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"_Toc49500863" </w:instrText>
          </w:r>
          <w:r>
            <w:fldChar w:fldCharType="separate"/>
          </w:r>
          <w:r>
            <w:rPr>
              <w:rStyle w:val="26"/>
            </w:rPr>
            <w:t>Involving parents and carers</w:t>
          </w:r>
          <w:r>
            <w:tab/>
          </w:r>
          <w:r>
            <w:fldChar w:fldCharType="begin"/>
          </w:r>
          <w:r>
            <w:instrText xml:space="preserve"> PAGEREF _Toc49500863 \h </w:instrText>
          </w:r>
          <w:r>
            <w:fldChar w:fldCharType="separate"/>
          </w:r>
          <w:r>
            <w:t>19</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"_Toc49500864" </w:instrText>
          </w:r>
          <w:r>
            <w:fldChar w:fldCharType="separate"/>
          </w:r>
          <w:r>
            <w:rPr>
              <w:rStyle w:val="26"/>
            </w:rPr>
            <w:t>Responding to an allegation or concern about a member of staff, student or volunteer</w:t>
          </w:r>
          <w:r>
            <w:tab/>
          </w:r>
          <w:r>
            <w:fldChar w:fldCharType="begin"/>
          </w:r>
          <w:r>
            <w:instrText xml:space="preserve"> PAGEREF _Toc49500864 \h </w:instrText>
          </w:r>
          <w:r>
            <w:fldChar w:fldCharType="separate"/>
          </w:r>
          <w:r>
            <w:t>20</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"_Toc49500865" </w:instrText>
          </w:r>
          <w:r>
            <w:fldChar w:fldCharType="separate"/>
          </w:r>
          <w:r>
            <w:rPr>
              <w:rStyle w:val="26"/>
            </w:rPr>
            <w:t>Local Authority Designated Officer (LADO)</w:t>
          </w:r>
          <w:r>
            <w:tab/>
          </w:r>
          <w:r>
            <w:fldChar w:fldCharType="begin"/>
          </w:r>
          <w:r>
            <w:instrText xml:space="preserve"> PAGEREF _Toc49500865 \h </w:instrText>
          </w:r>
          <w:r>
            <w:fldChar w:fldCharType="separate"/>
          </w:r>
          <w:r>
            <w:t>21</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"_Toc49500866" </w:instrText>
          </w:r>
          <w:r>
            <w:fldChar w:fldCharType="separate"/>
          </w:r>
          <w:r>
            <w:rPr>
              <w:rStyle w:val="26"/>
              <w:rFonts w:eastAsiaTheme="minorHAnsi"/>
              <w:lang w:eastAsia="en-US"/>
            </w:rPr>
            <w:t>Mobile Phones and Photographs</w:t>
          </w:r>
          <w:r>
            <w:tab/>
          </w:r>
          <w:r>
            <w:fldChar w:fldCharType="begin"/>
          </w:r>
          <w:r>
            <w:instrText xml:space="preserve"> PAGEREF _Toc49500866 \h </w:instrText>
          </w:r>
          <w:r>
            <w:fldChar w:fldCharType="separate"/>
          </w:r>
          <w:r>
            <w:t>21</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"_Toc49500867" </w:instrText>
          </w:r>
          <w:r>
            <w:fldChar w:fldCharType="separate"/>
          </w:r>
          <w:r>
            <w:rPr>
              <w:rStyle w:val="26"/>
            </w:rPr>
            <w:t>Appendices</w:t>
          </w:r>
          <w:r>
            <w:tab/>
          </w:r>
          <w:r>
            <w:fldChar w:fldCharType="begin"/>
          </w:r>
          <w:r>
            <w:instrText xml:space="preserve"> PAGEREF _Toc49500867 \h </w:instrText>
          </w:r>
          <w:r>
            <w:fldChar w:fldCharType="separate"/>
          </w:r>
          <w:r>
            <w:t>22</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"_Toc49500868" </w:instrText>
          </w:r>
          <w:r>
            <w:fldChar w:fldCharType="separate"/>
          </w:r>
          <w:r>
            <w:rPr>
              <w:rStyle w:val="26"/>
            </w:rPr>
            <w:t>Appendix 1 - Definitions and indicators of abuse</w:t>
          </w:r>
          <w:r>
            <w:tab/>
          </w:r>
          <w:r>
            <w:fldChar w:fldCharType="begin"/>
          </w:r>
          <w:r>
            <w:instrText xml:space="preserve"> PAGEREF _Toc49500868 \h </w:instrText>
          </w:r>
          <w:r>
            <w:fldChar w:fldCharType="separate"/>
          </w:r>
          <w:r>
            <w:t>22</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"_Toc49500869" </w:instrText>
          </w:r>
          <w:r>
            <w:fldChar w:fldCharType="separate"/>
          </w:r>
          <w:r>
            <w:rPr>
              <w:rStyle w:val="26"/>
            </w:rPr>
            <w:t>Appendix 2 - Dealing with a disclosure of abuse</w:t>
          </w:r>
          <w:r>
            <w:tab/>
          </w:r>
          <w:r>
            <w:fldChar w:fldCharType="begin"/>
          </w:r>
          <w:r>
            <w:instrText xml:space="preserve"> PAGEREF _Toc49500869 \h </w:instrText>
          </w:r>
          <w:r>
            <w:fldChar w:fldCharType="separate"/>
          </w:r>
          <w:r>
            <w:t>28</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"_Toc49500870" </w:instrText>
          </w:r>
          <w:r>
            <w:fldChar w:fldCharType="separate"/>
          </w:r>
          <w:r>
            <w:rPr>
              <w:rStyle w:val="26"/>
            </w:rPr>
            <w:t>Appendix 3 - Allegations about a member of staff, student or volunteer</w:t>
          </w:r>
          <w:r>
            <w:tab/>
          </w:r>
          <w:r>
            <w:fldChar w:fldCharType="begin"/>
          </w:r>
          <w:r>
            <w:instrText xml:space="preserve"> PAGEREF _Toc49500870 \h </w:instrText>
          </w:r>
          <w:r>
            <w:fldChar w:fldCharType="separate"/>
          </w:r>
          <w:r>
            <w:t>29</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"_Toc49500871" </w:instrText>
          </w:r>
          <w:r>
            <w:fldChar w:fldCharType="separate"/>
          </w:r>
          <w:r>
            <w:rPr>
              <w:rStyle w:val="26"/>
            </w:rPr>
            <w:t>Appendix 4 - Indicators of vulnerability to radicalisation</w:t>
          </w:r>
          <w:r>
            <w:tab/>
          </w:r>
          <w:r>
            <w:fldChar w:fldCharType="begin"/>
          </w:r>
          <w:r>
            <w:instrText xml:space="preserve"> PAGEREF _Toc49500871 \h </w:instrText>
          </w:r>
          <w:r>
            <w:fldChar w:fldCharType="separate"/>
          </w:r>
          <w:r>
            <w:t>31</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"_Toc49500872" </w:instrText>
          </w:r>
          <w:r>
            <w:fldChar w:fldCharType="separate"/>
          </w:r>
          <w:r>
            <w:rPr>
              <w:rStyle w:val="26"/>
            </w:rPr>
            <w:t>Appendix 5 - Female Genital Mutilation</w:t>
          </w:r>
          <w:r>
            <w:tab/>
          </w:r>
          <w:r>
            <w:fldChar w:fldCharType="begin"/>
          </w:r>
          <w:r>
            <w:instrText xml:space="preserve"> PAGEREF _Toc49500872 \h </w:instrText>
          </w:r>
          <w:r>
            <w:fldChar w:fldCharType="separate"/>
          </w:r>
          <w:r>
            <w:t>33</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"_Toc49500873" </w:instrText>
          </w:r>
          <w:r>
            <w:fldChar w:fldCharType="separate"/>
          </w:r>
          <w:r>
            <w:rPr>
              <w:rStyle w:val="26"/>
            </w:rPr>
            <w:t>Appendix 6 - Youth produced sexual imagery</w:t>
          </w:r>
          <w:r>
            <w:tab/>
          </w:r>
          <w:r>
            <w:fldChar w:fldCharType="begin"/>
          </w:r>
          <w:r>
            <w:instrText xml:space="preserve"> PAGEREF _Toc49500873 \h </w:instrText>
          </w:r>
          <w:r>
            <w:fldChar w:fldCharType="separate"/>
          </w:r>
          <w:r>
            <w:t>36</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"_Toc49500874" </w:instrText>
          </w:r>
          <w:r>
            <w:fldChar w:fldCharType="separate"/>
          </w:r>
          <w:r>
            <w:rPr>
              <w:rStyle w:val="26"/>
            </w:rPr>
            <w:t>Appendix 7 - Safeguarding Children in Specific Circumstances</w:t>
          </w:r>
          <w:r>
            <w:tab/>
          </w:r>
          <w:r>
            <w:fldChar w:fldCharType="begin"/>
          </w:r>
          <w:r>
            <w:instrText xml:space="preserve"> PAGEREF _Toc49500874 \h </w:instrText>
          </w:r>
          <w:r>
            <w:fldChar w:fldCharType="separate"/>
          </w:r>
          <w:r>
            <w:t>38</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"_Toc49500875" </w:instrText>
          </w:r>
          <w:r>
            <w:fldChar w:fldCharType="separate"/>
          </w:r>
          <w:r>
            <w:rPr>
              <w:rStyle w:val="26"/>
            </w:rPr>
            <w:t>Appendix 8 - Gang involvement</w:t>
          </w:r>
          <w:r>
            <w:tab/>
          </w:r>
          <w:r>
            <w:fldChar w:fldCharType="begin"/>
          </w:r>
          <w:r>
            <w:instrText xml:space="preserve"> PAGEREF _Toc49500875 \h </w:instrText>
          </w:r>
          <w:r>
            <w:fldChar w:fldCharType="separate"/>
          </w:r>
          <w:r>
            <w:t>40</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"_Toc49500876" </w:instrText>
          </w:r>
          <w:r>
            <w:fldChar w:fldCharType="separate"/>
          </w:r>
          <w:r>
            <w:rPr>
              <w:rStyle w:val="26"/>
            </w:rPr>
            <w:t>Appendix 9 - Child Sexual Exploitation (CSE) and Child Criminal Exploitation (CCE</w:t>
          </w:r>
          <w:r>
            <w:rPr>
              <w:rStyle w:val="26"/>
              <w:rFonts w:cs="Arial"/>
            </w:rPr>
            <w:t>)</w:t>
          </w:r>
          <w:r>
            <w:tab/>
          </w:r>
          <w:r>
            <w:fldChar w:fldCharType="begin"/>
          </w:r>
          <w:r>
            <w:instrText xml:space="preserve"> PAGEREF _Toc49500876 \h </w:instrText>
          </w:r>
          <w:r>
            <w:fldChar w:fldCharType="separate"/>
          </w:r>
          <w:r>
            <w:t>41</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"_Toc49500877" </w:instrText>
          </w:r>
          <w:r>
            <w:fldChar w:fldCharType="separate"/>
          </w:r>
          <w:r>
            <w:rPr>
              <w:rStyle w:val="26"/>
            </w:rPr>
            <w:t>Appendix 10 - Information Sharing advice for practitioners providing safeguarding services to children, young people, parents and carers (July 2018)</w:t>
          </w:r>
          <w:r>
            <w:tab/>
          </w:r>
          <w:r>
            <w:fldChar w:fldCharType="begin"/>
          </w:r>
          <w:r>
            <w:instrText xml:space="preserve"> PAGEREF _Toc49500877 \h </w:instrText>
          </w:r>
          <w:r>
            <w:fldChar w:fldCharType="separate"/>
          </w:r>
          <w:r>
            <w:t>43</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"_Toc49500878" </w:instrText>
          </w:r>
          <w:r>
            <w:fldChar w:fldCharType="separate"/>
          </w:r>
          <w:r>
            <w:rPr>
              <w:rStyle w:val="26"/>
            </w:rPr>
            <w:t>Appendix11 - What to do if you are concerned about a child</w:t>
          </w:r>
          <w:r>
            <w:tab/>
          </w:r>
          <w:r>
            <w:fldChar w:fldCharType="begin"/>
          </w:r>
          <w:r>
            <w:instrText xml:space="preserve"> PAGEREF _Toc49500878 \h </w:instrText>
          </w:r>
          <w:r>
            <w:fldChar w:fldCharType="separate"/>
          </w:r>
          <w:r>
            <w:t>44</w:t>
          </w:r>
          <w:r>
            <w:fldChar w:fldCharType="end"/>
          </w:r>
          <w:r>
            <w:fldChar w:fldCharType="end"/>
          </w:r>
        </w:p>
        <w:p>
          <w:pPr>
            <w:pStyle w:val="33"/>
            <w:tabs>
              <w:tab w:val="right" w:leader="dot" w:pos="9758"/>
            </w:tabs>
            <w:rPr>
              <w:rFonts w:asciiTheme="minorHAnsi" w:hAnsiTheme="minorHAnsi" w:eastAsiaTheme="minorEastAsia" w:cstheme="minorBidi"/>
              <w:sz w:val="22"/>
              <w:szCs w:val="22"/>
            </w:rPr>
          </w:pPr>
          <w:r>
            <w:fldChar w:fldCharType="begin"/>
          </w:r>
          <w:r>
            <w:instrText xml:space="preserve"> HYPERLINK \l "_Toc49500879" </w:instrText>
          </w:r>
          <w:r>
            <w:fldChar w:fldCharType="separate"/>
          </w:r>
          <w:r>
            <w:rPr>
              <w:rStyle w:val="26"/>
            </w:rPr>
            <w:t>Appendix 12 - Prevent in practice risk assessment and action plan</w:t>
          </w:r>
          <w:r>
            <w:tab/>
          </w:r>
          <w:r>
            <w:fldChar w:fldCharType="begin"/>
          </w:r>
          <w:r>
            <w:instrText xml:space="preserve"> PAGEREF _Toc49500879 \h </w:instrText>
          </w:r>
          <w:r>
            <w:fldChar w:fldCharType="separate"/>
          </w:r>
          <w:r>
            <w:rPr>
              <w:b/>
              <w:bCs/>
              <w:lang w:val="en-US"/>
            </w:rPr>
            <w:t>Error! Bookmark not defined.</w:t>
          </w:r>
          <w:r>
            <w:fldChar w:fldCharType="end"/>
          </w:r>
          <w:r>
            <w:fldChar w:fldCharType="end"/>
          </w:r>
        </w:p>
        <w:p>
          <w:r>
            <w:rPr>
              <w:b/>
              <w:bCs/>
            </w:rPr>
            <w:fldChar w:fldCharType="end"/>
          </w:r>
        </w:p>
      </w:sdtContent>
    </w:sdt>
    <w:p>
      <w:pPr>
        <w:spacing w:after="240"/>
        <w:rPr>
          <w:rFonts w:cs="Arial"/>
          <w:b/>
          <w:szCs w:val="24"/>
        </w:rPr>
      </w:pPr>
    </w:p>
    <w:p>
      <w:pPr>
        <w:spacing w:after="240"/>
        <w:rPr>
          <w:rFonts w:cs="Arial"/>
          <w:b/>
          <w:szCs w:val="24"/>
        </w:rPr>
      </w:pPr>
      <w:r>
        <w:rPr>
          <w:rFonts w:cs="Arial"/>
          <w:b/>
          <w:szCs w:val="24"/>
        </w:rPr>
        <w:br w:type="page"/>
      </w:r>
    </w:p>
    <w:p>
      <w:pPr>
        <w:spacing w:after="240"/>
        <w:rPr>
          <w:rFonts w:cs="Arial"/>
          <w:b/>
          <w:szCs w:val="24"/>
        </w:rPr>
      </w:pPr>
      <w:r>
        <w:rPr>
          <w:rFonts w:cs="Arial"/>
          <w:b/>
          <w:szCs w:val="24"/>
        </w:rPr>
        <w:t xml:space="preserve">Local Multi Agency Safeguarding Arrangement </w:t>
      </w:r>
      <w:r>
        <w:rPr>
          <w:rFonts w:cs="Arial"/>
          <w:szCs w:val="24"/>
        </w:rPr>
        <w:t>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relevant agencies they deem appropriate, to work together for the purpose of safeguarding and promoting the welfare of children in their area.  Education is one of the relevant agencies.  In Luton, the arrangements continue to be referred to as the Local Safeguarding Children and Adult’s Board.</w:t>
      </w:r>
    </w:p>
    <w:p>
      <w:pPr>
        <w:spacing w:after="240"/>
      </w:pPr>
    </w:p>
    <w:p>
      <w:pPr>
        <w:pStyle w:val="31"/>
        <w:rPr>
          <w:u w:val="none"/>
        </w:rPr>
      </w:pPr>
      <w:r>
        <w:rPr>
          <w:u w:val="none"/>
        </w:rPr>
        <w:t xml:space="preserve">Safeguarding policy </w:t>
      </w:r>
    </w:p>
    <w:p>
      <w:pPr>
        <w:pStyle w:val="31"/>
        <w:spacing w:after="240" w:line="240" w:lineRule="auto"/>
        <w:jc w:val="left"/>
        <w:rPr>
          <w:rFonts w:hint="default" w:cs="Arial"/>
          <w:szCs w:val="24"/>
          <w:u w:val="none"/>
          <w:lang w:val="en-GB"/>
        </w:rPr>
      </w:pPr>
      <w:r>
        <w:rPr>
          <w:rFonts w:cs="Arial"/>
          <w:b w:val="0"/>
          <w:szCs w:val="24"/>
          <w:u w:val="none"/>
        </w:rPr>
        <w:t>Approved by the (Manager)</w:t>
      </w:r>
      <w:r>
        <w:rPr>
          <w:rFonts w:cs="Arial"/>
          <w:b w:val="0"/>
          <w:szCs w:val="24"/>
          <w:u w:val="none"/>
        </w:rPr>
        <w:tab/>
      </w:r>
      <w:r>
        <w:rPr>
          <w:rFonts w:cs="Arial"/>
          <w:b w:val="0"/>
          <w:szCs w:val="24"/>
          <w:u w:val="none"/>
        </w:rPr>
        <w:tab/>
      </w:r>
      <w:r>
        <w:rPr>
          <w:rFonts w:hint="default" w:cs="Arial"/>
          <w:b w:val="0"/>
          <w:szCs w:val="24"/>
          <w:u w:val="none"/>
          <w:lang w:val="en-GB"/>
        </w:rPr>
        <w:t xml:space="preserve">Wahida Chowdhury </w:t>
      </w:r>
      <w:r>
        <w:rPr>
          <w:rFonts w:cs="Arial"/>
          <w:szCs w:val="24"/>
          <w:u w:val="none"/>
        </w:rPr>
        <w:t xml:space="preserve">                September 202</w:t>
      </w:r>
      <w:r>
        <w:rPr>
          <w:rFonts w:hint="default" w:cs="Arial"/>
          <w:szCs w:val="24"/>
          <w:u w:val="none"/>
          <w:lang w:val="en-GB"/>
        </w:rPr>
        <w:t>2</w:t>
      </w:r>
    </w:p>
    <w:p>
      <w:pPr>
        <w:pStyle w:val="31"/>
        <w:spacing w:after="240" w:line="240" w:lineRule="auto"/>
        <w:jc w:val="left"/>
        <w:rPr>
          <w:rFonts w:hint="default" w:cs="Arial"/>
          <w:b w:val="0"/>
          <w:szCs w:val="24"/>
          <w:u w:val="none"/>
          <w:lang w:val="en-GB"/>
        </w:rPr>
      </w:pPr>
      <w:r>
        <w:rPr>
          <w:rFonts w:cs="Arial"/>
          <w:b w:val="0"/>
          <w:szCs w:val="24"/>
          <w:u w:val="none"/>
        </w:rPr>
        <w:t>To be reviewed (annually)</w:t>
      </w:r>
      <w:r>
        <w:rPr>
          <w:rFonts w:cs="Arial"/>
          <w:b w:val="0"/>
          <w:szCs w:val="24"/>
          <w:u w:val="none"/>
        </w:rPr>
        <w:tab/>
      </w:r>
      <w:r>
        <w:rPr>
          <w:rFonts w:cs="Arial"/>
          <w:b w:val="0"/>
          <w:szCs w:val="24"/>
          <w:u w:val="none"/>
        </w:rPr>
        <w:tab/>
      </w:r>
      <w:r>
        <w:rPr>
          <w:rFonts w:cs="Arial"/>
          <w:b w:val="0"/>
          <w:szCs w:val="24"/>
          <w:u w:val="none"/>
        </w:rPr>
        <w:tab/>
      </w:r>
      <w:r>
        <w:rPr>
          <w:rFonts w:cs="Arial"/>
          <w:b w:val="0"/>
          <w:szCs w:val="24"/>
          <w:u w:val="none"/>
        </w:rPr>
        <w:t xml:space="preserve">…………………                  </w:t>
      </w:r>
      <w:r>
        <w:rPr>
          <w:rFonts w:cs="Arial"/>
          <w:szCs w:val="24"/>
          <w:u w:val="none"/>
        </w:rPr>
        <w:t>January 202</w:t>
      </w:r>
      <w:r>
        <w:rPr>
          <w:rFonts w:hint="default" w:cs="Arial"/>
          <w:szCs w:val="24"/>
          <w:u w:val="none"/>
          <w:lang w:val="en-GB"/>
        </w:rPr>
        <w:t>3</w:t>
      </w:r>
      <w:bookmarkStart w:id="37" w:name="_GoBack"/>
      <w:bookmarkEnd w:id="37"/>
    </w:p>
    <w:p>
      <w:pPr>
        <w:pStyle w:val="3"/>
        <w:spacing w:after="240"/>
        <w:rPr>
          <w:szCs w:val="24"/>
        </w:rPr>
      </w:pPr>
      <w:bookmarkStart w:id="0" w:name="_Toc49500847"/>
      <w:r>
        <w:rPr>
          <w:szCs w:val="24"/>
        </w:rPr>
        <w:t>Introduction</w:t>
      </w:r>
      <w:bookmarkEnd w:id="0"/>
      <w:r>
        <w:rPr>
          <w:szCs w:val="24"/>
        </w:rPr>
        <w:t xml:space="preserve"> </w:t>
      </w:r>
    </w:p>
    <w:p>
      <w:pPr>
        <w:pStyle w:val="15"/>
        <w:spacing w:after="240"/>
        <w:rPr>
          <w:rFonts w:cs="Arial"/>
          <w:sz w:val="24"/>
          <w:szCs w:val="24"/>
        </w:rPr>
      </w:pPr>
      <w:r>
        <w:rPr>
          <w:rFonts w:cs="Arial"/>
          <w:sz w:val="24"/>
          <w:szCs w:val="24"/>
        </w:rPr>
        <w:t xml:space="preserve">Safeguarding is defined as – </w:t>
      </w:r>
    </w:p>
    <w:p>
      <w:pPr>
        <w:pStyle w:val="15"/>
        <w:numPr>
          <w:ilvl w:val="0"/>
          <w:numId w:val="2"/>
        </w:numPr>
        <w:spacing w:after="240"/>
        <w:ind w:left="643"/>
        <w:rPr>
          <w:rFonts w:cs="Arial"/>
          <w:sz w:val="24"/>
          <w:szCs w:val="24"/>
        </w:rPr>
      </w:pPr>
      <w:r>
        <w:rPr>
          <w:rFonts w:cs="Arial"/>
          <w:sz w:val="24"/>
          <w:szCs w:val="24"/>
        </w:rPr>
        <w:t>protecting children from maltreatment;</w:t>
      </w:r>
    </w:p>
    <w:p>
      <w:pPr>
        <w:pStyle w:val="15"/>
        <w:numPr>
          <w:ilvl w:val="0"/>
          <w:numId w:val="2"/>
        </w:numPr>
        <w:spacing w:after="240"/>
        <w:ind w:left="643"/>
        <w:rPr>
          <w:rFonts w:cs="Arial"/>
          <w:sz w:val="24"/>
          <w:szCs w:val="24"/>
        </w:rPr>
      </w:pPr>
      <w:r>
        <w:rPr>
          <w:rFonts w:cs="Arial"/>
          <w:sz w:val="24"/>
          <w:szCs w:val="24"/>
        </w:rPr>
        <w:t>preventing impairment of children's mental and physical health or development;</w:t>
      </w:r>
    </w:p>
    <w:p>
      <w:pPr>
        <w:pStyle w:val="15"/>
        <w:numPr>
          <w:ilvl w:val="0"/>
          <w:numId w:val="2"/>
        </w:numPr>
        <w:spacing w:after="240"/>
        <w:ind w:left="643"/>
        <w:rPr>
          <w:rFonts w:cs="Arial"/>
          <w:sz w:val="24"/>
          <w:szCs w:val="24"/>
        </w:rPr>
      </w:pPr>
      <w:r>
        <w:rPr>
          <w:rFonts w:cs="Arial"/>
          <w:sz w:val="24"/>
          <w:szCs w:val="24"/>
        </w:rPr>
        <w:t>ensuring that children are growing up in circumstances consistent with the provision of safe and effective care; and</w:t>
      </w:r>
    </w:p>
    <w:p>
      <w:pPr>
        <w:pStyle w:val="15"/>
        <w:numPr>
          <w:ilvl w:val="0"/>
          <w:numId w:val="2"/>
        </w:numPr>
        <w:spacing w:after="240"/>
        <w:ind w:left="643"/>
        <w:rPr>
          <w:rFonts w:cs="Arial"/>
          <w:sz w:val="24"/>
          <w:szCs w:val="24"/>
        </w:rPr>
      </w:pPr>
      <w:r>
        <w:rPr>
          <w:rFonts w:cs="Arial"/>
          <w:sz w:val="24"/>
          <w:szCs w:val="24"/>
        </w:rPr>
        <w:t>taking action to enable all children to have the best outcomes.</w:t>
      </w:r>
    </w:p>
    <w:p>
      <w:pPr>
        <w:pStyle w:val="15"/>
        <w:spacing w:after="240"/>
        <w:ind w:left="1080"/>
        <w:rPr>
          <w:rFonts w:cs="Arial"/>
          <w:sz w:val="24"/>
          <w:szCs w:val="24"/>
        </w:rPr>
      </w:pPr>
      <w:r>
        <w:rPr>
          <w:rFonts w:cs="Arial"/>
          <w:sz w:val="24"/>
          <w:szCs w:val="24"/>
        </w:rPr>
        <w:t xml:space="preserve">                                             (</w:t>
      </w:r>
      <w:r>
        <w:fldChar w:fldCharType="begin"/>
      </w:r>
      <w:r>
        <w:instrText xml:space="preserve"> HYPERLINK "https://assets.publishing.service.gov.uk/government/uploads/system/uploads/attachment_data/file/892394/Keeping_children_safe_in_education_2020.pdf" </w:instrText>
      </w:r>
      <w:r>
        <w:fldChar w:fldCharType="separate"/>
      </w:r>
      <w:r>
        <w:rPr>
          <w:rStyle w:val="26"/>
          <w:rFonts w:cs="Arial"/>
          <w:sz w:val="24"/>
          <w:szCs w:val="24"/>
        </w:rPr>
        <w:t>Keeping Children Safe In Education,</w:t>
      </w:r>
      <w:r>
        <w:rPr>
          <w:rStyle w:val="26"/>
          <w:rFonts w:cs="Arial"/>
          <w:sz w:val="24"/>
          <w:szCs w:val="24"/>
        </w:rPr>
        <w:fldChar w:fldCharType="end"/>
      </w:r>
      <w:r>
        <w:rPr>
          <w:rFonts w:cs="Arial"/>
          <w:sz w:val="24"/>
          <w:szCs w:val="24"/>
        </w:rPr>
        <w:t xml:space="preserve"> KCSIE 2020)</w:t>
      </w:r>
    </w:p>
    <w:p>
      <w:pPr>
        <w:pStyle w:val="15"/>
        <w:spacing w:after="240"/>
        <w:rPr>
          <w:rFonts w:cs="Arial"/>
          <w:sz w:val="24"/>
          <w:szCs w:val="24"/>
        </w:rPr>
      </w:pPr>
      <w:r>
        <w:rPr>
          <w:rFonts w:cs="Arial"/>
          <w:sz w:val="24"/>
          <w:szCs w:val="24"/>
        </w:rPr>
        <w:t xml:space="preserve">  Child Protection is defined as –</w:t>
      </w:r>
    </w:p>
    <w:p>
      <w:pPr>
        <w:pStyle w:val="15"/>
        <w:numPr>
          <w:ilvl w:val="0"/>
          <w:numId w:val="3"/>
        </w:numPr>
        <w:spacing w:after="240"/>
        <w:ind w:left="643"/>
        <w:rPr>
          <w:rFonts w:cs="Arial"/>
          <w:sz w:val="24"/>
          <w:szCs w:val="24"/>
        </w:rPr>
      </w:pPr>
      <w:r>
        <w:rPr>
          <w:rFonts w:cs="Arial"/>
          <w:sz w:val="24"/>
          <w:szCs w:val="24"/>
        </w:rPr>
        <w:t>the activity that is undertaken to protect specific children who are suffering or likely to suffer significant harm.</w:t>
      </w:r>
    </w:p>
    <w:p>
      <w:pPr>
        <w:pStyle w:val="15"/>
        <w:spacing w:after="240"/>
        <w:ind w:left="5760"/>
        <w:rPr>
          <w:rFonts w:cs="Arial"/>
          <w:sz w:val="24"/>
          <w:szCs w:val="24"/>
        </w:rPr>
      </w:pPr>
      <w:r>
        <w:rPr>
          <w:rFonts w:cs="Arial"/>
          <w:sz w:val="24"/>
          <w:szCs w:val="24"/>
        </w:rPr>
        <w:t>(</w:t>
      </w:r>
      <w:r>
        <w:fldChar w:fldCharType="begin"/>
      </w:r>
      <w:r>
        <w:instrText xml:space="preserve"> HYPERLINK "https://assets.publishing.service.gov.uk/government/uploads/system/uploads/attachment_data/file/779401/Working_Together_to_Safeguard-Children.pdf" </w:instrText>
      </w:r>
      <w:r>
        <w:fldChar w:fldCharType="separate"/>
      </w:r>
      <w:r>
        <w:rPr>
          <w:rStyle w:val="26"/>
          <w:rFonts w:cs="Arial"/>
          <w:sz w:val="24"/>
          <w:szCs w:val="24"/>
        </w:rPr>
        <w:t>Working Together,</w:t>
      </w:r>
      <w:r>
        <w:rPr>
          <w:rStyle w:val="26"/>
          <w:rFonts w:cs="Arial"/>
          <w:sz w:val="24"/>
          <w:szCs w:val="24"/>
        </w:rPr>
        <w:fldChar w:fldCharType="end"/>
      </w:r>
      <w:r>
        <w:rPr>
          <w:rFonts w:cs="Arial"/>
          <w:sz w:val="24"/>
          <w:szCs w:val="24"/>
        </w:rPr>
        <w:t xml:space="preserve"> DfE 2018)</w:t>
      </w:r>
    </w:p>
    <w:p>
      <w:pPr>
        <w:pStyle w:val="15"/>
        <w:spacing w:after="240" w:line="240" w:lineRule="auto"/>
        <w:rPr>
          <w:rFonts w:cs="Arial"/>
          <w:sz w:val="24"/>
          <w:szCs w:val="24"/>
        </w:rPr>
      </w:pPr>
      <w:r>
        <w:rPr>
          <w:rFonts w:cs="Arial"/>
          <w:sz w:val="24"/>
          <w:szCs w:val="24"/>
        </w:rPr>
        <w:t>This includes, but is not limited to, safeguarding children in specific circumstances: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1"/>
        <w:gridCol w:w="5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Neglect</w:t>
            </w:r>
          </w:p>
        </w:tc>
        <w:tc>
          <w:tcPr>
            <w:tcW w:w="5387" w:type="dxa"/>
            <w:shd w:val="clear" w:color="auto" w:fill="auto"/>
          </w:tcPr>
          <w:p>
            <w:pPr>
              <w:pStyle w:val="15"/>
              <w:spacing w:after="240" w:line="240" w:lineRule="auto"/>
              <w:rPr>
                <w:rFonts w:cs="Arial"/>
                <w:sz w:val="24"/>
                <w:szCs w:val="24"/>
              </w:rPr>
            </w:pPr>
            <w:r>
              <w:rPr>
                <w:rFonts w:cs="Arial"/>
                <w:sz w:val="24"/>
                <w:szCs w:val="24"/>
              </w:rPr>
              <w:t>Physical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Emotional abuse</w:t>
            </w:r>
          </w:p>
        </w:tc>
        <w:tc>
          <w:tcPr>
            <w:tcW w:w="5387" w:type="dxa"/>
            <w:shd w:val="clear" w:color="auto" w:fill="auto"/>
          </w:tcPr>
          <w:p>
            <w:pPr>
              <w:pStyle w:val="15"/>
              <w:spacing w:after="240" w:line="240" w:lineRule="auto"/>
              <w:rPr>
                <w:rFonts w:cs="Arial"/>
                <w:sz w:val="24"/>
                <w:szCs w:val="24"/>
              </w:rPr>
            </w:pPr>
            <w:r>
              <w:rPr>
                <w:rFonts w:cs="Arial"/>
                <w:sz w:val="24"/>
                <w:szCs w:val="24"/>
              </w:rPr>
              <w:t>Sexual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Bullying, including online and prejudice-based bullying</w:t>
            </w:r>
          </w:p>
        </w:tc>
        <w:tc>
          <w:tcPr>
            <w:tcW w:w="5387" w:type="dxa"/>
            <w:shd w:val="clear" w:color="auto" w:fill="auto"/>
          </w:tcPr>
          <w:p>
            <w:pPr>
              <w:pStyle w:val="15"/>
              <w:spacing w:after="240" w:line="240" w:lineRule="auto"/>
              <w:rPr>
                <w:rFonts w:cs="Arial"/>
                <w:sz w:val="24"/>
                <w:szCs w:val="24"/>
              </w:rPr>
            </w:pPr>
            <w:r>
              <w:rPr>
                <w:rFonts w:cs="Arial"/>
                <w:sz w:val="24"/>
                <w:szCs w:val="24"/>
              </w:rPr>
              <w:t>Racist, disability and homophobic or transphobic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Gender based violence / violence against women and girls</w:t>
            </w:r>
          </w:p>
        </w:tc>
        <w:tc>
          <w:tcPr>
            <w:tcW w:w="5387" w:type="dxa"/>
            <w:shd w:val="clear" w:color="auto" w:fill="auto"/>
          </w:tcPr>
          <w:p>
            <w:pPr>
              <w:pStyle w:val="15"/>
              <w:spacing w:after="240" w:line="240" w:lineRule="auto"/>
              <w:rPr>
                <w:rFonts w:cs="Arial"/>
                <w:sz w:val="24"/>
                <w:szCs w:val="24"/>
              </w:rPr>
            </w:pPr>
            <w:r>
              <w:rPr>
                <w:rFonts w:cs="Arial"/>
                <w:sz w:val="24"/>
                <w:szCs w:val="24"/>
              </w:rPr>
              <w:t>Radicalisation and /or extremist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Child Sexual Exploitation and trafficking</w:t>
            </w:r>
          </w:p>
        </w:tc>
        <w:tc>
          <w:tcPr>
            <w:tcW w:w="5387" w:type="dxa"/>
            <w:shd w:val="clear" w:color="auto" w:fill="auto"/>
          </w:tcPr>
          <w:p>
            <w:pPr>
              <w:pStyle w:val="15"/>
              <w:spacing w:after="240" w:line="240" w:lineRule="auto"/>
              <w:rPr>
                <w:rFonts w:cs="Arial"/>
                <w:sz w:val="24"/>
                <w:szCs w:val="24"/>
              </w:rPr>
            </w:pPr>
            <w:r>
              <w:rPr>
                <w:rFonts w:cs="Arial"/>
                <w:sz w:val="24"/>
                <w:szCs w:val="24"/>
              </w:rPr>
              <w:t xml:space="preserve">The impact of new technologies on sexual behaviour: e.g. Youth produced sexual imagery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Teenage relationship abuse</w:t>
            </w:r>
          </w:p>
        </w:tc>
        <w:tc>
          <w:tcPr>
            <w:tcW w:w="5387" w:type="dxa"/>
            <w:shd w:val="clear" w:color="auto" w:fill="auto"/>
          </w:tcPr>
          <w:p>
            <w:pPr>
              <w:pStyle w:val="15"/>
              <w:spacing w:after="240" w:line="240" w:lineRule="auto"/>
              <w:rPr>
                <w:rFonts w:cs="Arial"/>
                <w:sz w:val="24"/>
                <w:szCs w:val="24"/>
              </w:rPr>
            </w:pPr>
            <w:r>
              <w:rPr>
                <w:rFonts w:cs="Arial"/>
                <w:sz w:val="24"/>
                <w:szCs w:val="24"/>
              </w:rPr>
              <w:t>Substance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Gang / youth violence including initiation / hazing</w:t>
            </w:r>
          </w:p>
        </w:tc>
        <w:tc>
          <w:tcPr>
            <w:tcW w:w="5387" w:type="dxa"/>
            <w:shd w:val="clear" w:color="auto" w:fill="auto"/>
          </w:tcPr>
          <w:p>
            <w:pPr>
              <w:pStyle w:val="15"/>
              <w:spacing w:after="240" w:line="240" w:lineRule="auto"/>
              <w:rPr>
                <w:rFonts w:cs="Arial"/>
                <w:sz w:val="24"/>
                <w:szCs w:val="24"/>
              </w:rPr>
            </w:pPr>
            <w:r>
              <w:rPr>
                <w:rFonts w:cs="Arial"/>
                <w:sz w:val="24"/>
                <w:szCs w:val="24"/>
              </w:rPr>
              <w:t>Domestic abuse / violence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Female Genital Mutilation</w:t>
            </w:r>
          </w:p>
        </w:tc>
        <w:tc>
          <w:tcPr>
            <w:tcW w:w="5387" w:type="dxa"/>
            <w:shd w:val="clear" w:color="auto" w:fill="auto"/>
          </w:tcPr>
          <w:p>
            <w:pPr>
              <w:pStyle w:val="15"/>
              <w:spacing w:after="240" w:line="240" w:lineRule="auto"/>
              <w:rPr>
                <w:rFonts w:cs="Arial"/>
                <w:sz w:val="24"/>
                <w:szCs w:val="24"/>
              </w:rPr>
            </w:pPr>
            <w:r>
              <w:rPr>
                <w:rFonts w:cs="Arial"/>
                <w:sz w:val="24"/>
                <w:szCs w:val="24"/>
              </w:rPr>
              <w:t>Forced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Fabricated / induced illness</w:t>
            </w:r>
          </w:p>
        </w:tc>
        <w:tc>
          <w:tcPr>
            <w:tcW w:w="5387" w:type="dxa"/>
            <w:shd w:val="clear" w:color="auto" w:fill="auto"/>
          </w:tcPr>
          <w:p>
            <w:pPr>
              <w:pStyle w:val="15"/>
              <w:spacing w:after="240" w:line="240" w:lineRule="auto"/>
              <w:rPr>
                <w:rFonts w:cs="Arial"/>
                <w:sz w:val="24"/>
                <w:szCs w:val="24"/>
              </w:rPr>
            </w:pPr>
            <w:r>
              <w:rPr>
                <w:rFonts w:cs="Arial"/>
                <w:sz w:val="24"/>
                <w:szCs w:val="24"/>
              </w:rPr>
              <w:t>Poor parenting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Online including grooming via social networking, online gaming, video messaging</w:t>
            </w:r>
          </w:p>
        </w:tc>
        <w:tc>
          <w:tcPr>
            <w:tcW w:w="5387" w:type="dxa"/>
            <w:shd w:val="clear" w:color="auto" w:fill="auto"/>
          </w:tcPr>
          <w:p>
            <w:pPr>
              <w:pStyle w:val="15"/>
              <w:spacing w:after="240" w:line="240" w:lineRule="auto"/>
              <w:rPr>
                <w:rFonts w:cs="Arial"/>
                <w:sz w:val="24"/>
                <w:szCs w:val="24"/>
              </w:rPr>
            </w:pPr>
            <w:r>
              <w:rPr>
                <w:rFonts w:cs="Arial"/>
                <w:sz w:val="24"/>
                <w:szCs w:val="24"/>
              </w:rPr>
              <w:t>Peer on peer abuse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1" w:type="dxa"/>
            <w:shd w:val="clear" w:color="auto" w:fill="auto"/>
          </w:tcPr>
          <w:p>
            <w:pPr>
              <w:pStyle w:val="15"/>
              <w:spacing w:after="240" w:line="240" w:lineRule="auto"/>
              <w:rPr>
                <w:rFonts w:cs="Arial"/>
                <w:sz w:val="24"/>
                <w:szCs w:val="24"/>
              </w:rPr>
            </w:pPr>
            <w:r>
              <w:rPr>
                <w:rFonts w:cs="Arial"/>
                <w:sz w:val="24"/>
                <w:szCs w:val="24"/>
              </w:rPr>
              <w:t>Self harm behaviours</w:t>
            </w:r>
          </w:p>
        </w:tc>
        <w:tc>
          <w:tcPr>
            <w:tcW w:w="5387" w:type="dxa"/>
            <w:shd w:val="clear" w:color="auto" w:fill="auto"/>
          </w:tcPr>
          <w:p>
            <w:pPr>
              <w:pStyle w:val="15"/>
              <w:spacing w:after="240" w:line="240" w:lineRule="auto"/>
              <w:rPr>
                <w:rFonts w:cs="Arial"/>
                <w:sz w:val="24"/>
                <w:szCs w:val="24"/>
              </w:rPr>
            </w:pPr>
            <w:r>
              <w:rPr>
                <w:rFonts w:cs="Arial"/>
                <w:sz w:val="24"/>
                <w:szCs w:val="24"/>
              </w:rPr>
              <w:t>Children with mental health difficulties or illness</w:t>
            </w:r>
          </w:p>
        </w:tc>
      </w:tr>
    </w:tbl>
    <w:p>
      <w:pPr>
        <w:spacing w:after="240" w:line="240" w:lineRule="auto"/>
        <w:rPr>
          <w:rFonts w:cs="Arial"/>
          <w:szCs w:val="24"/>
          <w:lang w:eastAsia="en-US"/>
        </w:rPr>
      </w:pPr>
    </w:p>
    <w:p>
      <w:pPr>
        <w:tabs>
          <w:tab w:val="left" w:pos="426"/>
        </w:tabs>
        <w:spacing w:after="240" w:line="240" w:lineRule="auto"/>
        <w:rPr>
          <w:rFonts w:cs="Arial"/>
          <w:szCs w:val="24"/>
          <w:lang w:eastAsia="en-US"/>
        </w:rPr>
      </w:pPr>
      <w:r>
        <w:rPr>
          <w:rFonts w:cs="Arial"/>
          <w:szCs w:val="24"/>
          <w:lang w:eastAsia="en-US"/>
        </w:rPr>
        <w:t xml:space="preserve">Working Together 2018 sets out that Early Years providers have a duty under section 40 of the Childcare Act 2006 to comply with the safeguarding and welfare requirements of the Early Years Statutory Framework  </w:t>
      </w:r>
      <w:r>
        <w:rPr>
          <w:rFonts w:cs="Arial"/>
          <w:b/>
          <w:szCs w:val="24"/>
          <w:lang w:eastAsia="en-US"/>
        </w:rPr>
        <w:t xml:space="preserve">(3.7 EYFS). </w:t>
      </w:r>
      <w:r>
        <w:rPr>
          <w:rFonts w:cs="Arial"/>
          <w:szCs w:val="24"/>
          <w:lang w:eastAsia="en-US"/>
        </w:rPr>
        <w:t xml:space="preserve">Under the Statutory Framework </w:t>
      </w:r>
      <w:r>
        <w:rPr>
          <w:rFonts w:cs="Arial"/>
          <w:b/>
          <w:szCs w:val="24"/>
          <w:lang w:eastAsia="en-US"/>
        </w:rPr>
        <w:t>(3.4 EYFS)</w:t>
      </w:r>
      <w:r>
        <w:rPr>
          <w:rFonts w:cs="Arial"/>
          <w:szCs w:val="24"/>
          <w:lang w:eastAsia="en-US"/>
        </w:rPr>
        <w:t xml:space="preserve"> “Providers must be alert to any issues for concern in the child’s life at home or elsewhere”. Procedures are in place to safeguard children in line with the policies and procedures of </w:t>
      </w:r>
      <w:r>
        <w:fldChar w:fldCharType="begin"/>
      </w:r>
      <w:r>
        <w:instrText xml:space="preserve"> HYPERLINK "https://bedfordscb.proceduresonline.com/" </w:instrText>
      </w:r>
      <w:r>
        <w:fldChar w:fldCharType="separate"/>
      </w:r>
      <w:r>
        <w:rPr>
          <w:rStyle w:val="26"/>
          <w:rFonts w:cs="Arial"/>
          <w:szCs w:val="24"/>
          <w:lang w:eastAsia="en-US"/>
        </w:rPr>
        <w:t xml:space="preserve">Luton Safeguarding Children Board Procedures.  </w:t>
      </w:r>
      <w:r>
        <w:rPr>
          <w:rStyle w:val="26"/>
          <w:rFonts w:cs="Arial"/>
          <w:szCs w:val="24"/>
          <w:lang w:eastAsia="en-US"/>
        </w:rPr>
        <w:fldChar w:fldCharType="end"/>
      </w:r>
      <w:r>
        <w:rPr>
          <w:rFonts w:cs="Arial"/>
          <w:szCs w:val="24"/>
        </w:rPr>
        <w:t xml:space="preserve"> </w:t>
      </w:r>
    </w:p>
    <w:p>
      <w:pPr>
        <w:spacing w:after="240" w:line="240" w:lineRule="auto"/>
        <w:rPr>
          <w:lang w:eastAsia="en-US"/>
        </w:rPr>
      </w:pPr>
      <w:r>
        <w:rPr>
          <w:rFonts w:cs="Arial"/>
          <w:szCs w:val="24"/>
        </w:rPr>
        <w:t xml:space="preserve">All staff should be aware of the guidance issued by Luton Safeguarding Children Board (LSCB) within the </w:t>
      </w:r>
      <w:r>
        <w:fldChar w:fldCharType="begin"/>
      </w:r>
      <w:r>
        <w:instrText xml:space="preserve"> HYPERLINK "http://lutonlscb.org.uk/wp-content/uploads/2016/11/threshold-framework-v16-Oct-17-2.pdf" </w:instrText>
      </w:r>
      <w:r>
        <w:fldChar w:fldCharType="separate"/>
      </w:r>
      <w:r>
        <w:rPr>
          <w:rStyle w:val="26"/>
          <w:rFonts w:cs="Arial"/>
          <w:szCs w:val="24"/>
        </w:rPr>
        <w:t>Threshold Framework</w:t>
      </w:r>
      <w:r>
        <w:rPr>
          <w:rStyle w:val="26"/>
          <w:rFonts w:cs="Arial"/>
          <w:szCs w:val="24"/>
        </w:rPr>
        <w:fldChar w:fldCharType="end"/>
      </w:r>
      <w:r>
        <w:rPr>
          <w:rFonts w:cs="Arial"/>
          <w:szCs w:val="24"/>
        </w:rPr>
        <w:t xml:space="preserve"> in order to secure support and intervention for children and young people at the earliest possible opportunity in the least intrusive way</w:t>
      </w:r>
      <w:r>
        <w:rPr>
          <w:rFonts w:cs="Arial"/>
          <w:szCs w:val="24"/>
          <w:lang w:eastAsia="en-US"/>
        </w:rPr>
        <w:t xml:space="preserve">. </w:t>
      </w:r>
      <w:r>
        <w:rPr>
          <w:lang w:eastAsia="en-US"/>
        </w:rPr>
        <w:t>As part of the procedures in Luton there are safeguarding case recording materials that are used for recording safeguarding concerns – see Safeguarding form, Chronology form, Body Map, Tracking monitoring form.</w:t>
      </w:r>
    </w:p>
    <w:p>
      <w:pPr>
        <w:pStyle w:val="15"/>
        <w:spacing w:after="240" w:line="240" w:lineRule="auto"/>
        <w:rPr>
          <w:rFonts w:cs="Arial"/>
          <w:sz w:val="24"/>
          <w:szCs w:val="24"/>
        </w:rPr>
      </w:pPr>
      <w:r>
        <w:rPr>
          <w:rFonts w:cs="Arial"/>
          <w:b/>
          <w:i/>
          <w:iCs/>
          <w:sz w:val="24"/>
          <w:szCs w:val="24"/>
        </w:rPr>
        <w:t xml:space="preserve">Little Stars Pre-school  </w:t>
      </w:r>
      <w:r>
        <w:rPr>
          <w:rFonts w:cs="Arial"/>
          <w:b/>
          <w:sz w:val="24"/>
          <w:szCs w:val="24"/>
        </w:rPr>
        <w:t>is committed to safeguarding and promoting the welfare of all its children.  We believe that:</w:t>
      </w:r>
    </w:p>
    <w:p>
      <w:pPr>
        <w:pStyle w:val="15"/>
        <w:numPr>
          <w:ilvl w:val="0"/>
          <w:numId w:val="4"/>
        </w:numPr>
        <w:spacing w:after="240" w:line="240" w:lineRule="auto"/>
        <w:ind w:left="643"/>
        <w:rPr>
          <w:rFonts w:cs="Arial"/>
          <w:sz w:val="24"/>
          <w:szCs w:val="24"/>
        </w:rPr>
      </w:pPr>
      <w:r>
        <w:rPr>
          <w:rFonts w:cs="Arial"/>
          <w:sz w:val="24"/>
          <w:szCs w:val="24"/>
        </w:rPr>
        <w:t>all children have an equal right to be protected from harm</w:t>
      </w:r>
    </w:p>
    <w:p>
      <w:pPr>
        <w:pStyle w:val="15"/>
        <w:numPr>
          <w:ilvl w:val="0"/>
          <w:numId w:val="4"/>
        </w:numPr>
        <w:spacing w:after="240" w:line="240" w:lineRule="auto"/>
        <w:ind w:left="643"/>
        <w:rPr>
          <w:rFonts w:cs="Arial"/>
          <w:sz w:val="24"/>
          <w:szCs w:val="24"/>
        </w:rPr>
      </w:pPr>
      <w:r>
        <w:rPr>
          <w:rFonts w:cs="Arial"/>
          <w:sz w:val="24"/>
          <w:szCs w:val="24"/>
        </w:rPr>
        <w:t>all children have the right to speak freely and voice their values and beliefs</w:t>
      </w:r>
    </w:p>
    <w:p>
      <w:pPr>
        <w:pStyle w:val="15"/>
        <w:numPr>
          <w:ilvl w:val="0"/>
          <w:numId w:val="4"/>
        </w:numPr>
        <w:spacing w:after="240" w:line="240" w:lineRule="auto"/>
        <w:ind w:left="643"/>
        <w:rPr>
          <w:rFonts w:cs="Arial"/>
          <w:sz w:val="24"/>
          <w:szCs w:val="24"/>
        </w:rPr>
      </w:pPr>
      <w:r>
        <w:rPr>
          <w:rFonts w:cs="Arial"/>
          <w:sz w:val="24"/>
          <w:szCs w:val="24"/>
        </w:rPr>
        <w:t>all children must be encouraged to respect each other’s values and support each other</w:t>
      </w:r>
    </w:p>
    <w:p>
      <w:pPr>
        <w:pStyle w:val="15"/>
        <w:numPr>
          <w:ilvl w:val="0"/>
          <w:numId w:val="4"/>
        </w:numPr>
        <w:spacing w:after="240" w:line="240" w:lineRule="auto"/>
        <w:ind w:left="643"/>
        <w:rPr>
          <w:rFonts w:cs="Arial"/>
          <w:sz w:val="24"/>
          <w:szCs w:val="24"/>
        </w:rPr>
      </w:pPr>
      <w:r>
        <w:rPr>
          <w:rFonts w:cs="Arial"/>
          <w:sz w:val="24"/>
          <w:szCs w:val="24"/>
        </w:rPr>
        <w:t xml:space="preserve">all children have the right to be supported to meet their emotional and social needs as well as their educational needs </w:t>
      </w:r>
    </w:p>
    <w:p>
      <w:pPr>
        <w:pStyle w:val="15"/>
        <w:numPr>
          <w:ilvl w:val="0"/>
          <w:numId w:val="4"/>
        </w:numPr>
        <w:spacing w:after="240" w:line="240" w:lineRule="auto"/>
        <w:ind w:left="643"/>
        <w:rPr>
          <w:rFonts w:cs="Arial"/>
          <w:sz w:val="24"/>
          <w:szCs w:val="24"/>
        </w:rPr>
      </w:pPr>
      <w:r>
        <w:rPr>
          <w:rFonts w:cs="Arial"/>
          <w:sz w:val="24"/>
          <w:szCs w:val="24"/>
        </w:rPr>
        <w:t>our early years setting can and does contribute to the prevention of abuse, victimisation, bullying, exploitation, extreme behaviours, discriminatory views and risk taking behaviours</w:t>
      </w:r>
    </w:p>
    <w:p>
      <w:r>
        <w:t>All staff, volunteers and visitors have an important role to play in safeguarding children and protecting them from abuse.</w:t>
      </w:r>
      <w:r>
        <w:tab/>
      </w:r>
    </w:p>
    <w:p>
      <w:pPr>
        <w:pStyle w:val="3"/>
        <w:spacing w:after="240" w:line="240" w:lineRule="auto"/>
        <w:rPr>
          <w:rFonts w:cs="Arial"/>
          <w:szCs w:val="24"/>
        </w:rPr>
      </w:pPr>
      <w:bookmarkStart w:id="1" w:name="_Toc49500848"/>
      <w:r>
        <w:rPr>
          <w:rFonts w:cs="Arial"/>
          <w:szCs w:val="24"/>
        </w:rPr>
        <w:t>The Designated Safeguarding Officer (DSO)</w:t>
      </w:r>
      <w:bookmarkEnd w:id="1"/>
      <w:r>
        <w:rPr>
          <w:rFonts w:cs="Arial"/>
          <w:szCs w:val="24"/>
        </w:rPr>
        <w:t xml:space="preserve"> </w:t>
      </w:r>
    </w:p>
    <w:p>
      <w:pPr>
        <w:pStyle w:val="54"/>
        <w:rPr>
          <w:color w:val="auto"/>
        </w:rPr>
      </w:pPr>
      <w:bookmarkStart w:id="2" w:name="_Hlk94604218"/>
      <w:r>
        <w:rPr>
          <w:b/>
          <w:color w:val="auto"/>
        </w:rPr>
        <w:t>Designated Safeguarding Officer (DSO) Lead in the early years setting</w:t>
      </w:r>
      <w:r>
        <w:rPr>
          <w:b/>
          <w:color w:val="00B050"/>
        </w:rPr>
        <w:t xml:space="preserve"> </w:t>
      </w:r>
      <w:r>
        <w:rPr>
          <w:b/>
          <w:i/>
          <w:color w:val="auto"/>
        </w:rPr>
        <w:t xml:space="preserve">Taryn Gettleson </w:t>
      </w:r>
      <w:r>
        <w:rPr>
          <w:b/>
          <w:color w:val="auto"/>
        </w:rPr>
        <w:t xml:space="preserve"> </w:t>
      </w:r>
      <w:r>
        <w:rPr>
          <w:color w:val="auto"/>
        </w:rPr>
        <w:t>takes lead responsibility for coordinating all child protection activity within our early years setting. They</w:t>
      </w:r>
      <w:r>
        <w:rPr>
          <w:b/>
          <w:color w:val="auto"/>
        </w:rPr>
        <w:t xml:space="preserve"> </w:t>
      </w:r>
      <w:r>
        <w:rPr>
          <w:color w:val="auto"/>
        </w:rPr>
        <w:t xml:space="preserve">will provide support to staff members to carry out their safeguarding duties and will liaise closely with other services such as the Multi Agency Safeguarding Hub (MASH),Luton Children and Families Social Care Service, Early Help Assessment team (EHA), Health, Police etc.  This person has lead responsibility and management oversight for safeguarding and child protection </w:t>
      </w:r>
      <w:r>
        <w:rPr>
          <w:b/>
          <w:color w:val="auto"/>
        </w:rPr>
        <w:t>(3.5 EYFS)</w:t>
      </w:r>
      <w:r>
        <w:rPr>
          <w:color w:val="auto"/>
        </w:rPr>
        <w:t xml:space="preserve"> </w:t>
      </w:r>
    </w:p>
    <w:p>
      <w:pPr>
        <w:pStyle w:val="54"/>
        <w:spacing w:after="240"/>
        <w:rPr>
          <w:color w:val="auto"/>
        </w:rPr>
      </w:pPr>
      <w:r>
        <w:rPr>
          <w:color w:val="auto"/>
        </w:rPr>
        <w:t>The Deputy Designated Safeguarding Officer (DSO) Lead is trained to the same level as the Designated Safeguarding Officer (DSO) Lead and will undertake this role in their absence</w:t>
      </w:r>
    </w:p>
    <w:bookmarkEnd w:id="2"/>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4"/>
          <w:szCs w:val="24"/>
        </w:rPr>
      </w:pPr>
      <w:r>
        <w:rPr>
          <w:rFonts w:cs="Arial"/>
          <w:b w:val="0"/>
          <w:sz w:val="24"/>
          <w:szCs w:val="24"/>
        </w:rPr>
        <w:t>when the early years setting has concerns about a child, the Designated Safeguarding Officer (DSO) will decide what steps should be taken in accordance with the Local Safeguarding Children’s Board (LSCB) Thresholds Framework and initiate a response accordingly</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refer to the Model Setting Concern Process if a concern becomes apparent regarding a child. For further information, please see appendix 11</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sz w:val="24"/>
          <w:szCs w:val="24"/>
        </w:rPr>
      </w:pPr>
      <w:r>
        <w:rPr>
          <w:rFonts w:cs="Arial"/>
          <w:b w:val="0"/>
          <w:sz w:val="24"/>
          <w:szCs w:val="24"/>
        </w:rPr>
        <w:t xml:space="preserve">the DSO will support staff who make referrals to the Local Authority Children’s Social Care and act as a source of support, advice and expertise for all staff </w:t>
      </w:r>
      <w:r>
        <w:rPr>
          <w:rFonts w:cs="Arial"/>
          <w:sz w:val="24"/>
          <w:szCs w:val="24"/>
        </w:rPr>
        <w:t>(EYFS 3.5)</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refer cases to the Police where a crime may have been committed</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seek advice in regard to safeguarding matters related to radicalisation and make referrals to Channel as required</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liaise with the Designated Senior Manager for allegations to ensure where necessary referrals have been made to the Disclosure and Barring Service when a person is dismissed or resigned due to risk/harm to a child</w:t>
      </w:r>
    </w:p>
    <w:p>
      <w:pPr>
        <w:pStyle w:val="13"/>
        <w:keepNext/>
        <w:widowControl w:val="0"/>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lead regular case monitoring reviews of vulnerable children. These reviews, together with any actions arising from the review and the rationale for decision-making will be recorded in case files</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 xml:space="preserve">the DSO will ensure safeguarding and child protection information will be dealt with in a confidential manner and in accordance with the LSCB’s information sharing guidance.  </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 xml:space="preserve">staff will be informed of relevant details only when the Designated Safeguarding Officer feels their having knowledge of a situation will improve their ability to deal with an individual child and / or family.  </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 xml:space="preserve">a written record will be made of what information has been shared with whom, and when  </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ensure safeguarding and child protection records will be stored securely in a central place separate from academic record Individual files will be kept for each child</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ensure access to safeguarding and child protection records by staff other than by the Designated Safeguarding Officer will be restricted, and a written record will be kept of who has had access to them and when.</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the DSO will refer cases to the Police where a crime may have been committed</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 xml:space="preserve">the DSO will ensure parents are usually (subject to the point below) aware of information held on their children and are kept up to date regarding any concerns or developments by the appropriate members of staff </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general communications with parents will be in line with any setting policies and give due regard to which adults have parental responsibility. The Designated Safeguarding Officer (DSO) Lead will seek advice in regard to safeguarding matters related to radicalisation via the Early Help Assessment (EHA) team and follow their guidance</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4"/>
          <w:szCs w:val="24"/>
        </w:rPr>
      </w:pPr>
      <w:r>
        <w:rPr>
          <w:rFonts w:cs="Arial"/>
          <w:b w:val="0"/>
          <w:sz w:val="24"/>
          <w:szCs w:val="24"/>
        </w:rPr>
        <w:t xml:space="preserve">the DSO will undertake regular case monitoring reviews of vulnerable and looked after children recorded within the A-Z Chronology and within individual case files.    These reviews will be discussed within staff safeguarding supervision sessions. Any actions arising from the review and the reasoning for decision making will be recorded in the child’s individual case file and a copy of this will also be filed in the staff member’s personal supervision folder. </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4"/>
          <w:szCs w:val="24"/>
        </w:rPr>
      </w:pPr>
      <w:r>
        <w:rPr>
          <w:rFonts w:cs="Arial"/>
          <w:sz w:val="24"/>
          <w:szCs w:val="24"/>
        </w:rPr>
        <w:t>The Designated Safeguarding Officer will not disclose to a parent any information held on a child if this would put the child at risk of significant harm.</w:t>
      </w:r>
      <w:r>
        <w:rPr>
          <w:rFonts w:cs="Arial"/>
          <w:b w:val="0"/>
          <w:sz w:val="24"/>
          <w:szCs w:val="24"/>
        </w:rPr>
        <w:t xml:space="preserve">  In such circumstances, advice will be sought from Children’s Social Care.</w:t>
      </w:r>
      <w:r>
        <w:rPr>
          <w:b w:val="0"/>
          <w:sz w:val="24"/>
          <w:szCs w:val="24"/>
        </w:rPr>
        <w:t xml:space="preserve"> </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4"/>
          <w:szCs w:val="24"/>
        </w:rPr>
      </w:pPr>
      <w:r>
        <w:rPr>
          <w:rFonts w:cs="Arial"/>
          <w:b w:val="0"/>
          <w:sz w:val="24"/>
          <w:szCs w:val="24"/>
        </w:rPr>
        <w:t xml:space="preserve">if a child moves from our early years setting, the DSO will ensure all child protection records are forwarded on to the DSO at the new early years setting or school, with due regard to their confidential nature and in line with national government guidance on the transfer of such records.  We will record the date, where and to whom the records have been passed and request a signature on receipt of the child’s records.  The practice guidance produced by Luton Safeguarding Children Board (LSCB) will be adhered to in relation to archiving child protection records. Professional judgment will determine if other safeguarding recordings need to be archived or forwarded on to transitioning schools </w:t>
      </w:r>
    </w:p>
    <w:p>
      <w:pPr>
        <w:pStyle w:val="13"/>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4"/>
          <w:szCs w:val="24"/>
        </w:rPr>
      </w:pPr>
      <w:r>
        <w:rPr>
          <w:rFonts w:cs="Arial"/>
          <w:b w:val="0"/>
          <w:sz w:val="24"/>
          <w:szCs w:val="24"/>
        </w:rPr>
        <w:t>if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and the date sent and/or received. When a Designated Safeguarding Officer resigns their post or no longer has child protection responsibility, there should be a full face-to-face handover/exchange of information with the new post holder - this exchange should be recorded as part of the incoming role holder’s induction/performance management</w:t>
      </w:r>
    </w:p>
    <w:p>
      <w:pPr>
        <w:pStyle w:val="3"/>
        <w:spacing w:after="240"/>
      </w:pPr>
      <w:bookmarkStart w:id="3" w:name="_Toc49500849"/>
      <w:r>
        <w:t>Safer Recruitment</w:t>
      </w:r>
      <w:bookmarkEnd w:id="3"/>
      <w:r>
        <w:t xml:space="preserve"> </w:t>
      </w:r>
    </w:p>
    <w:p>
      <w:pPr>
        <w:pStyle w:val="14"/>
        <w:spacing w:after="240" w:line="240" w:lineRule="auto"/>
        <w:ind w:left="283"/>
        <w:rPr>
          <w:rFonts w:ascii="Arial" w:hAnsi="Arial" w:cs="Arial"/>
          <w:b w:val="0"/>
          <w:szCs w:val="24"/>
        </w:rPr>
      </w:pPr>
      <w:r>
        <w:rPr>
          <w:rFonts w:ascii="Arial" w:hAnsi="Arial" w:cs="Arial"/>
          <w:b w:val="0"/>
          <w:szCs w:val="24"/>
        </w:rPr>
        <w:t>Our early years setting implements Safer Recruitment practices</w:t>
      </w:r>
      <w:r>
        <w:rPr>
          <w:rFonts w:ascii="Arial" w:hAnsi="Arial" w:cs="Arial"/>
          <w:szCs w:val="24"/>
        </w:rPr>
        <w:t xml:space="preserve"> (3.9 to 3.18 EYFS)</w:t>
      </w:r>
      <w:r>
        <w:rPr>
          <w:rFonts w:ascii="Arial" w:hAnsi="Arial" w:cs="Arial"/>
          <w:b w:val="0"/>
          <w:szCs w:val="24"/>
        </w:rPr>
        <w:t xml:space="preserve"> and taking into consideration the ‘Keeping Children Safe in Education’ (KCSIE). Safer recruitment practice includes scrutinising applicants, obtaining professional and character references, checking previous employment history, ensuring that a candidate has the health and physical capacity for the job, verifying identity and academic or vocational qualifications via the </w:t>
      </w:r>
      <w:r>
        <w:fldChar w:fldCharType="begin"/>
      </w:r>
      <w:r>
        <w:instrText xml:space="preserve"> HYPERLINK "https://www.gov.uk/guidance/early-years-qualifications-finder" </w:instrText>
      </w:r>
      <w:r>
        <w:fldChar w:fldCharType="separate"/>
      </w:r>
      <w:r>
        <w:rPr>
          <w:rStyle w:val="26"/>
          <w:rFonts w:ascii="Arial" w:hAnsi="Arial" w:cs="Arial"/>
          <w:b w:val="0"/>
          <w:szCs w:val="24"/>
        </w:rPr>
        <w:t>government qualification</w:t>
      </w:r>
      <w:r>
        <w:rPr>
          <w:rStyle w:val="26"/>
          <w:rFonts w:ascii="Arial" w:hAnsi="Arial" w:cs="Arial"/>
          <w:b w:val="0"/>
          <w:szCs w:val="24"/>
        </w:rPr>
        <w:fldChar w:fldCharType="end"/>
      </w:r>
      <w:r>
        <w:rPr>
          <w:rFonts w:ascii="Arial" w:hAnsi="Arial" w:cs="Arial"/>
          <w:b w:val="0"/>
          <w:szCs w:val="24"/>
        </w:rPr>
        <w:t xml:space="preserve"> checker.</w:t>
      </w:r>
    </w:p>
    <w:p>
      <w:pPr>
        <w:pStyle w:val="14"/>
        <w:spacing w:after="240" w:line="240" w:lineRule="auto"/>
        <w:ind w:left="283"/>
        <w:rPr>
          <w:rFonts w:ascii="Arial" w:hAnsi="Arial" w:cs="Arial"/>
          <w:b w:val="0"/>
          <w:szCs w:val="24"/>
        </w:rPr>
      </w:pPr>
      <w:r>
        <w:rPr>
          <w:rFonts w:ascii="Arial" w:hAnsi="Arial" w:cs="Arial"/>
          <w:b w:val="0"/>
          <w:szCs w:val="24"/>
        </w:rPr>
        <w:t xml:space="preserve">Checks also include undertaking interviews, appropriate enhanced checks through the </w:t>
      </w:r>
      <w:r>
        <w:fldChar w:fldCharType="begin"/>
      </w:r>
      <w:r>
        <w:instrText xml:space="preserve"> HYPERLINK "https://www.gov.uk/government/organisations/disclosure-and-barring-service/about" </w:instrText>
      </w:r>
      <w:r>
        <w:fldChar w:fldCharType="separate"/>
      </w:r>
      <w:r>
        <w:rPr>
          <w:rStyle w:val="26"/>
          <w:rFonts w:ascii="Arial" w:hAnsi="Arial" w:cs="Arial"/>
          <w:b w:val="0"/>
          <w:szCs w:val="24"/>
        </w:rPr>
        <w:t>Disclosure and Barring Service (DBS)</w:t>
      </w:r>
      <w:r>
        <w:rPr>
          <w:rStyle w:val="26"/>
          <w:rFonts w:ascii="Arial" w:hAnsi="Arial" w:cs="Arial"/>
          <w:b w:val="0"/>
          <w:szCs w:val="24"/>
        </w:rPr>
        <w:fldChar w:fldCharType="end"/>
      </w:r>
    </w:p>
    <w:p>
      <w:pPr>
        <w:pStyle w:val="3"/>
        <w:spacing w:after="240"/>
      </w:pPr>
      <w:bookmarkStart w:id="4" w:name="_Toc49500850"/>
      <w:r>
        <w:rPr>
          <w:rFonts w:eastAsiaTheme="minorHAnsi"/>
          <w:lang w:eastAsia="en-US"/>
        </w:rPr>
        <w:t>Our role in the prevention of abuse</w:t>
      </w:r>
      <w:bookmarkEnd w:id="4"/>
    </w:p>
    <w:p>
      <w:pPr>
        <w:pStyle w:val="14"/>
        <w:spacing w:after="240" w:line="240" w:lineRule="auto"/>
        <w:rPr>
          <w:rFonts w:ascii="Arial" w:hAnsi="Arial" w:cs="Arial"/>
          <w:b w:val="0"/>
          <w:szCs w:val="24"/>
        </w:rPr>
      </w:pPr>
      <w:r>
        <w:rPr>
          <w:rFonts w:ascii="Arial" w:hAnsi="Arial" w:cs="Arial"/>
          <w:b w:val="0"/>
          <w:szCs w:val="24"/>
        </w:rPr>
        <w:t>In accordance with Working Together 2018, our early years setting recognises the need to safeguard children from:</w:t>
      </w:r>
    </w:p>
    <w:p>
      <w:pPr>
        <w:pStyle w:val="14"/>
        <w:numPr>
          <w:ilvl w:val="1"/>
          <w:numId w:val="6"/>
        </w:numPr>
        <w:spacing w:after="240" w:line="240" w:lineRule="auto"/>
        <w:ind w:left="643"/>
        <w:rPr>
          <w:rFonts w:ascii="Arial" w:hAnsi="Arial" w:cs="Arial"/>
          <w:b w:val="0"/>
          <w:szCs w:val="24"/>
        </w:rPr>
      </w:pPr>
      <w:r>
        <w:rPr>
          <w:rFonts w:ascii="Arial" w:hAnsi="Arial" w:cs="Arial"/>
          <w:b w:val="0"/>
          <w:szCs w:val="24"/>
        </w:rPr>
        <w:t>neglect</w:t>
      </w:r>
    </w:p>
    <w:p>
      <w:pPr>
        <w:pStyle w:val="14"/>
        <w:numPr>
          <w:ilvl w:val="1"/>
          <w:numId w:val="6"/>
        </w:numPr>
        <w:spacing w:after="240" w:line="240" w:lineRule="auto"/>
        <w:ind w:left="643"/>
        <w:rPr>
          <w:rFonts w:ascii="Arial" w:hAnsi="Arial" w:cs="Arial"/>
          <w:b w:val="0"/>
          <w:szCs w:val="24"/>
        </w:rPr>
      </w:pPr>
      <w:r>
        <w:rPr>
          <w:rFonts w:ascii="Arial" w:hAnsi="Arial" w:cs="Arial"/>
          <w:b w:val="0"/>
          <w:szCs w:val="24"/>
        </w:rPr>
        <w:t>emotional abuse</w:t>
      </w:r>
    </w:p>
    <w:p>
      <w:pPr>
        <w:pStyle w:val="14"/>
        <w:numPr>
          <w:ilvl w:val="1"/>
          <w:numId w:val="6"/>
        </w:numPr>
        <w:spacing w:after="240" w:line="240" w:lineRule="auto"/>
        <w:ind w:left="643"/>
        <w:rPr>
          <w:rFonts w:ascii="Arial" w:hAnsi="Arial" w:cs="Arial"/>
          <w:b w:val="0"/>
          <w:szCs w:val="24"/>
        </w:rPr>
      </w:pPr>
      <w:r>
        <w:rPr>
          <w:rFonts w:ascii="Arial" w:hAnsi="Arial" w:cs="Arial"/>
          <w:b w:val="0"/>
          <w:szCs w:val="24"/>
        </w:rPr>
        <w:t>physical abuse</w:t>
      </w:r>
    </w:p>
    <w:p>
      <w:pPr>
        <w:pStyle w:val="14"/>
        <w:numPr>
          <w:ilvl w:val="1"/>
          <w:numId w:val="6"/>
        </w:numPr>
        <w:spacing w:after="240" w:line="240" w:lineRule="auto"/>
        <w:ind w:left="643"/>
        <w:rPr>
          <w:rFonts w:ascii="Arial" w:hAnsi="Arial" w:cs="Arial"/>
          <w:b w:val="0"/>
          <w:szCs w:val="24"/>
        </w:rPr>
      </w:pPr>
      <w:r>
        <w:rPr>
          <w:rFonts w:ascii="Arial" w:hAnsi="Arial" w:cs="Arial"/>
          <w:b w:val="0"/>
          <w:szCs w:val="24"/>
        </w:rPr>
        <w:t>sexual abuse</w:t>
      </w:r>
    </w:p>
    <w:p>
      <w:pPr>
        <w:pStyle w:val="14"/>
        <w:spacing w:after="240" w:line="240" w:lineRule="auto"/>
        <w:rPr>
          <w:rFonts w:ascii="Arial" w:hAnsi="Arial" w:cs="Arial"/>
          <w:b w:val="0"/>
          <w:szCs w:val="24"/>
        </w:rPr>
      </w:pPr>
      <w:r>
        <w:rPr>
          <w:rFonts w:ascii="Arial" w:hAnsi="Arial" w:cs="Arial"/>
          <w:b w:val="0"/>
          <w:szCs w:val="24"/>
        </w:rPr>
        <w:t>Appendix 1 contains more information about definitions and indicators of abuse.</w:t>
      </w:r>
    </w:p>
    <w:p>
      <w:pPr>
        <w:pStyle w:val="14"/>
        <w:spacing w:after="240" w:line="240" w:lineRule="auto"/>
        <w:rPr>
          <w:rFonts w:ascii="Arial" w:hAnsi="Arial" w:cs="Arial"/>
          <w:b w:val="0"/>
          <w:szCs w:val="24"/>
        </w:rPr>
      </w:pPr>
      <w:r>
        <w:rPr>
          <w:rFonts w:ascii="Arial" w:hAnsi="Arial" w:cs="Arial"/>
          <w:b w:val="0"/>
          <w:szCs w:val="24"/>
        </w:rPr>
        <w:t>Additional policies linked to safeguarding children in our early years setting.</w:t>
      </w:r>
    </w:p>
    <w:p>
      <w:pPr>
        <w:numPr>
          <w:ilvl w:val="0"/>
          <w:numId w:val="7"/>
        </w:numPr>
        <w:spacing w:after="240" w:line="240" w:lineRule="auto"/>
        <w:ind w:left="643"/>
        <w:rPr>
          <w:rFonts w:cs="Arial"/>
          <w:szCs w:val="24"/>
        </w:rPr>
      </w:pPr>
      <w:r>
        <w:rPr>
          <w:rFonts w:cs="Arial"/>
          <w:szCs w:val="24"/>
        </w:rPr>
        <w:t>Safer Recruitment</w:t>
      </w:r>
      <w:r>
        <w:rPr>
          <w:rFonts w:cs="Arial"/>
          <w:szCs w:val="24"/>
        </w:rPr>
        <w:tab/>
      </w:r>
      <w:r>
        <w:rPr>
          <w:rFonts w:cs="Arial"/>
          <w:szCs w:val="24"/>
        </w:rPr>
        <w:tab/>
      </w:r>
      <w:r>
        <w:rPr>
          <w:rFonts w:cs="Arial"/>
          <w:szCs w:val="24"/>
        </w:rPr>
        <w:tab/>
      </w:r>
      <w:r>
        <w:rPr>
          <w:rFonts w:cs="Arial"/>
          <w:szCs w:val="24"/>
        </w:rPr>
        <w:t xml:space="preserve">Physical Restraint </w:t>
      </w:r>
    </w:p>
    <w:p>
      <w:pPr>
        <w:numPr>
          <w:ilvl w:val="0"/>
          <w:numId w:val="7"/>
        </w:numPr>
        <w:spacing w:after="240" w:line="240" w:lineRule="auto"/>
        <w:ind w:left="643"/>
        <w:rPr>
          <w:rFonts w:cs="Arial"/>
          <w:szCs w:val="24"/>
        </w:rPr>
      </w:pPr>
      <w:r>
        <w:rPr>
          <w:rFonts w:cs="Arial"/>
          <w:szCs w:val="24"/>
        </w:rPr>
        <w:t>Code of Conduct</w:t>
      </w:r>
      <w:r>
        <w:rPr>
          <w:rFonts w:cs="Arial"/>
          <w:szCs w:val="24"/>
        </w:rPr>
        <w:tab/>
      </w:r>
      <w:r>
        <w:rPr>
          <w:rFonts w:cs="Arial"/>
          <w:szCs w:val="24"/>
        </w:rPr>
        <w:tab/>
      </w:r>
      <w:r>
        <w:rPr>
          <w:rFonts w:cs="Arial"/>
          <w:szCs w:val="24"/>
        </w:rPr>
        <w:tab/>
      </w:r>
      <w:r>
        <w:rPr>
          <w:rFonts w:cs="Arial"/>
          <w:szCs w:val="24"/>
        </w:rPr>
        <w:t>Visitor / External speakers</w:t>
      </w:r>
      <w:r>
        <w:rPr>
          <w:rFonts w:cs="Arial"/>
          <w:szCs w:val="24"/>
        </w:rPr>
        <w:tab/>
      </w:r>
      <w:r>
        <w:rPr>
          <w:rFonts w:cs="Arial"/>
          <w:szCs w:val="24"/>
        </w:rPr>
        <w:tab/>
      </w:r>
    </w:p>
    <w:p>
      <w:pPr>
        <w:numPr>
          <w:ilvl w:val="0"/>
          <w:numId w:val="7"/>
        </w:numPr>
        <w:spacing w:after="240" w:line="240" w:lineRule="auto"/>
        <w:ind w:left="643"/>
        <w:rPr>
          <w:rFonts w:cs="Arial"/>
          <w:szCs w:val="24"/>
        </w:rPr>
      </w:pPr>
      <w:r>
        <w:rPr>
          <w:rFonts w:cs="Arial"/>
          <w:szCs w:val="24"/>
        </w:rPr>
        <w:t>Disqualification                              Online safety</w:t>
      </w:r>
      <w:r>
        <w:rPr>
          <w:rFonts w:cs="Arial"/>
          <w:szCs w:val="24"/>
        </w:rPr>
        <w:tab/>
      </w:r>
      <w:r>
        <w:rPr>
          <w:rFonts w:cs="Arial"/>
          <w:szCs w:val="24"/>
        </w:rPr>
        <w:tab/>
      </w:r>
      <w:r>
        <w:rPr>
          <w:rFonts w:cs="Arial"/>
          <w:szCs w:val="24"/>
        </w:rPr>
        <w:tab/>
      </w:r>
      <w:r>
        <w:rPr>
          <w:rFonts w:cs="Arial"/>
          <w:szCs w:val="24"/>
        </w:rPr>
        <w:tab/>
      </w:r>
    </w:p>
    <w:p>
      <w:pPr>
        <w:numPr>
          <w:ilvl w:val="0"/>
          <w:numId w:val="7"/>
        </w:numPr>
        <w:spacing w:after="240" w:line="240" w:lineRule="auto"/>
        <w:ind w:left="643"/>
        <w:rPr>
          <w:rFonts w:cs="Arial"/>
          <w:szCs w:val="24"/>
        </w:rPr>
      </w:pPr>
      <w:r>
        <w:rPr>
          <w:rFonts w:cs="Arial"/>
          <w:szCs w:val="24"/>
        </w:rPr>
        <w:t>Whistleblowing</w:t>
      </w:r>
      <w:r>
        <w:rPr>
          <w:rFonts w:cs="Arial"/>
          <w:szCs w:val="24"/>
        </w:rPr>
        <w:tab/>
      </w:r>
      <w:r>
        <w:rPr>
          <w:rFonts w:cs="Arial"/>
          <w:szCs w:val="24"/>
        </w:rPr>
        <w:tab/>
      </w:r>
      <w:r>
        <w:rPr>
          <w:rFonts w:cs="Arial"/>
          <w:szCs w:val="24"/>
        </w:rPr>
        <w:tab/>
      </w:r>
      <w:r>
        <w:rPr>
          <w:rFonts w:cs="Arial"/>
          <w:szCs w:val="24"/>
        </w:rPr>
        <w:t>Health and Safety</w:t>
      </w:r>
    </w:p>
    <w:p>
      <w:pPr>
        <w:numPr>
          <w:ilvl w:val="0"/>
          <w:numId w:val="7"/>
        </w:numPr>
        <w:spacing w:after="240" w:line="240" w:lineRule="auto"/>
        <w:ind w:left="643"/>
        <w:rPr>
          <w:rFonts w:cs="Arial"/>
          <w:szCs w:val="24"/>
        </w:rPr>
      </w:pPr>
      <w:r>
        <w:rPr>
          <w:rFonts w:cs="Arial"/>
          <w:szCs w:val="24"/>
        </w:rPr>
        <w:t>Bullying                                          Managing Children’s Behaviour</w:t>
      </w:r>
    </w:p>
    <w:p>
      <w:pPr>
        <w:numPr>
          <w:ilvl w:val="0"/>
          <w:numId w:val="7"/>
        </w:numPr>
        <w:spacing w:after="240" w:line="240" w:lineRule="auto"/>
        <w:ind w:left="643"/>
        <w:rPr>
          <w:rFonts w:cs="Arial"/>
          <w:szCs w:val="24"/>
        </w:rPr>
      </w:pPr>
      <w:r>
        <w:rPr>
          <w:rFonts w:cs="Arial"/>
          <w:szCs w:val="24"/>
        </w:rPr>
        <w:t>Physical restraint</w:t>
      </w:r>
    </w:p>
    <w:p>
      <w:pPr>
        <w:autoSpaceDE w:val="0"/>
        <w:autoSpaceDN w:val="0"/>
        <w:adjustRightInd w:val="0"/>
        <w:spacing w:after="240" w:line="240" w:lineRule="auto"/>
        <w:rPr>
          <w:rFonts w:cs="Arial" w:eastAsiaTheme="minorHAnsi"/>
          <w:color w:val="000000"/>
          <w:szCs w:val="24"/>
          <w:lang w:eastAsia="en-US"/>
        </w:rPr>
      </w:pPr>
      <w:r>
        <w:rPr>
          <w:rFonts w:cs="Arial" w:eastAsiaTheme="minorHAnsi"/>
          <w:color w:val="000000"/>
          <w:szCs w:val="24"/>
          <w:lang w:eastAsia="en-US"/>
        </w:rPr>
        <w:t xml:space="preserve">All staff must be able to identify signs of possible abuse and neglect at the earliest opportunity and to respond in a timely and appropriate way. These may include: </w:t>
      </w:r>
    </w:p>
    <w:p>
      <w:pPr>
        <w:pStyle w:val="62"/>
        <w:numPr>
          <w:ilvl w:val="0"/>
          <w:numId w:val="4"/>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significant changes in children's behaviour </w:t>
      </w:r>
    </w:p>
    <w:p>
      <w:pPr>
        <w:pStyle w:val="62"/>
        <w:numPr>
          <w:ilvl w:val="0"/>
          <w:numId w:val="4"/>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deterioration in children’s general well-being </w:t>
      </w:r>
    </w:p>
    <w:p>
      <w:pPr>
        <w:pStyle w:val="62"/>
        <w:numPr>
          <w:ilvl w:val="0"/>
          <w:numId w:val="4"/>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unexplained bruising, marks or signs of possible abuse or neglect </w:t>
      </w:r>
    </w:p>
    <w:p>
      <w:pPr>
        <w:pStyle w:val="62"/>
        <w:numPr>
          <w:ilvl w:val="0"/>
          <w:numId w:val="4"/>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children’s comments which give cause for concern </w:t>
      </w:r>
    </w:p>
    <w:p>
      <w:pPr>
        <w:pStyle w:val="62"/>
        <w:numPr>
          <w:ilvl w:val="0"/>
          <w:numId w:val="4"/>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any reasons to suspect neglect or abuse outside the setting, </w:t>
      </w:r>
      <w:r>
        <w:rPr>
          <w:rFonts w:cs="Arial" w:eastAsiaTheme="minorHAnsi"/>
          <w:szCs w:val="24"/>
          <w:lang w:eastAsia="en-US"/>
        </w:rPr>
        <w:t xml:space="preserve">for example in the child’s home or that a girl may have been subjected to (or is at risk of) female genital mutilation </w:t>
      </w:r>
    </w:p>
    <w:p>
      <w:pPr>
        <w:pStyle w:val="13"/>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643"/>
        <w:jc w:val="left"/>
        <w:rPr>
          <w:rFonts w:cs="Arial"/>
          <w:b w:val="0"/>
          <w:sz w:val="24"/>
          <w:szCs w:val="24"/>
        </w:rPr>
      </w:pPr>
      <w:r>
        <w:rPr>
          <w:rFonts w:cs="Arial" w:eastAsiaTheme="minorHAnsi"/>
          <w:b w:val="0"/>
          <w:color w:val="000000"/>
          <w:sz w:val="24"/>
          <w:szCs w:val="24"/>
          <w:lang w:eastAsia="en-US"/>
        </w:rPr>
        <w:t xml:space="preserve">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r>
        <w:rPr>
          <w:rFonts w:cs="Arial" w:eastAsiaTheme="minorHAnsi"/>
          <w:color w:val="000000"/>
          <w:sz w:val="24"/>
          <w:szCs w:val="24"/>
          <w:lang w:eastAsia="en-US"/>
        </w:rPr>
        <w:t>(3.6 EYFS)</w:t>
      </w:r>
    </w:p>
    <w:p>
      <w:pPr>
        <w:rPr>
          <w:rFonts w:eastAsiaTheme="minorHAnsi"/>
          <w:b/>
          <w:lang w:eastAsia="en-US"/>
        </w:rPr>
      </w:pPr>
      <w:r>
        <w:rPr>
          <w:rFonts w:eastAsiaTheme="minorHAnsi"/>
          <w:b/>
          <w:lang w:eastAsia="en-US"/>
        </w:rPr>
        <w:t>What settings should look out for:</w:t>
      </w:r>
    </w:p>
    <w:p>
      <w:pPr>
        <w:autoSpaceDE w:val="0"/>
        <w:autoSpaceDN w:val="0"/>
        <w:adjustRightInd w:val="0"/>
        <w:spacing w:after="240" w:line="240" w:lineRule="auto"/>
        <w:rPr>
          <w:rFonts w:cs="Arial" w:eastAsiaTheme="minorHAnsi"/>
          <w:szCs w:val="24"/>
          <w:lang w:eastAsia="en-US"/>
        </w:rPr>
      </w:pPr>
      <w:r>
        <w:rPr>
          <w:rFonts w:cs="Arial" w:eastAsiaTheme="minorHAnsi"/>
          <w:bCs/>
          <w:szCs w:val="24"/>
          <w:lang w:eastAsia="en-US"/>
        </w:rPr>
        <w:t>Any</w:t>
      </w:r>
      <w:r>
        <w:rPr>
          <w:rFonts w:cs="Arial" w:eastAsiaTheme="minorHAnsi"/>
          <w:b/>
          <w:bCs/>
          <w:szCs w:val="24"/>
          <w:lang w:eastAsia="en-US"/>
        </w:rPr>
        <w:t xml:space="preserve"> </w:t>
      </w:r>
      <w:r>
        <w:rPr>
          <w:rFonts w:cs="Arial" w:eastAsiaTheme="minorHAnsi"/>
          <w:szCs w:val="24"/>
          <w:lang w:eastAsia="en-US"/>
        </w:rPr>
        <w:t xml:space="preserve">child may benefit from early help, but all staff should be particularly alert to the potential need for early help for a child who: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is disabled and has specific additional needs </w:t>
      </w:r>
    </w:p>
    <w:p>
      <w:pPr>
        <w:autoSpaceDE w:val="0"/>
        <w:autoSpaceDN w:val="0"/>
        <w:adjustRightInd w:val="0"/>
        <w:spacing w:after="0" w:line="240" w:lineRule="auto"/>
        <w:ind w:left="283"/>
        <w:rPr>
          <w:rFonts w:cs="Arial" w:eastAsiaTheme="minorHAnsi"/>
          <w:szCs w:val="24"/>
          <w:lang w:eastAsia="en-US"/>
        </w:rPr>
      </w:pPr>
      <w:r>
        <w:rPr>
          <w:rFonts w:cs="Arial" w:eastAsiaTheme="minorHAnsi"/>
          <w:szCs w:val="24"/>
          <w:lang w:eastAsia="en-US"/>
        </w:rPr>
        <w:t>• has special educational needs (whether or not they have a statutory Education, Health and Care Plan)</w:t>
      </w:r>
    </w:p>
    <w:p>
      <w:pPr>
        <w:autoSpaceDE w:val="0"/>
        <w:autoSpaceDN w:val="0"/>
        <w:adjustRightInd w:val="0"/>
        <w:spacing w:after="0" w:line="240" w:lineRule="auto"/>
        <w:ind w:left="283"/>
        <w:rPr>
          <w:rFonts w:cs="Arial" w:eastAsiaTheme="minorHAnsi"/>
          <w:szCs w:val="24"/>
          <w:lang w:eastAsia="en-US"/>
        </w:rPr>
      </w:pPr>
      <w:r>
        <w:rPr>
          <w:rFonts w:cs="Arial" w:eastAsiaTheme="minorHAnsi"/>
          <w:szCs w:val="24"/>
          <w:lang w:eastAsia="en-US"/>
        </w:rPr>
        <w:t>• young people or family are a young carer</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is frequently missing/goes missing from care or from home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is at risk of modern slavery, trafficking or exploitation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is at risk of being radicalised or exploited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is in a family circumstance presenting challenges, such as drug and alcohol misuse, adult mental health issues and domestic abuse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has returned home to their family from care and is a privately fostered child</w:t>
      </w:r>
    </w:p>
    <w:p>
      <w:pPr>
        <w:rPr>
          <w:b/>
        </w:rPr>
      </w:pPr>
      <w:r>
        <w:rPr>
          <w:b/>
        </w:rPr>
        <w:t>The Director</w:t>
      </w:r>
    </w:p>
    <w:p>
      <w:pPr>
        <w:rPr>
          <w:b/>
        </w:rPr>
      </w:pPr>
      <w:bookmarkStart w:id="5" w:name="_Hlk94604500"/>
      <w:r>
        <w:rPr>
          <w:b/>
        </w:rPr>
        <w:t>The early years setting owner/committee will ensure that:</w:t>
      </w:r>
    </w:p>
    <w:p>
      <w:pPr>
        <w:pStyle w:val="14"/>
        <w:numPr>
          <w:ilvl w:val="0"/>
          <w:numId w:val="8"/>
        </w:numPr>
        <w:spacing w:after="240" w:line="240" w:lineRule="auto"/>
        <w:ind w:left="643"/>
        <w:rPr>
          <w:rFonts w:ascii="Arial" w:hAnsi="Arial" w:cs="Arial"/>
          <w:b w:val="0"/>
          <w:szCs w:val="24"/>
        </w:rPr>
      </w:pPr>
      <w:r>
        <w:rPr>
          <w:rFonts w:ascii="Arial" w:hAnsi="Arial" w:cs="Arial"/>
          <w:b w:val="0"/>
          <w:szCs w:val="24"/>
        </w:rPr>
        <w:t xml:space="preserve">the nominated </w:t>
      </w:r>
      <w:r>
        <w:rPr>
          <w:rFonts w:ascii="Arial" w:hAnsi="Arial" w:cs="Arial"/>
          <w:b w:val="0"/>
          <w:bCs/>
          <w:szCs w:val="24"/>
        </w:rPr>
        <w:t>Director</w:t>
      </w:r>
      <w:r>
        <w:rPr>
          <w:rFonts w:ascii="Arial" w:hAnsi="Arial" w:cs="Arial"/>
          <w:b w:val="0"/>
          <w:szCs w:val="24"/>
        </w:rPr>
        <w:t xml:space="preserve"> for child protection at our early years setting</w:t>
      </w:r>
      <w:r>
        <w:rPr>
          <w:rFonts w:ascii="Arial" w:hAnsi="Arial" w:cs="Arial"/>
          <w:szCs w:val="24"/>
        </w:rPr>
        <w:t xml:space="preserve"> </w:t>
      </w:r>
      <w:r>
        <w:rPr>
          <w:rFonts w:ascii="Arial" w:hAnsi="Arial" w:cs="Arial"/>
          <w:b w:val="0"/>
          <w:szCs w:val="24"/>
        </w:rPr>
        <w:t xml:space="preserve">is  </w:t>
      </w:r>
      <w:r>
        <w:rPr>
          <w:rFonts w:ascii="Arial" w:hAnsi="Arial" w:cs="Arial"/>
          <w:szCs w:val="24"/>
        </w:rPr>
        <w:t>Rob Burton</w:t>
      </w:r>
      <w:r>
        <w:rPr>
          <w:rFonts w:ascii="Arial" w:hAnsi="Arial" w:cs="Arial"/>
          <w:b w:val="0"/>
          <w:szCs w:val="24"/>
        </w:rPr>
        <w:t xml:space="preserve"> he is responsible for liaising with the Nursery Manager/Pre School Leader over all matters regarding child protection issues.</w:t>
      </w:r>
    </w:p>
    <w:p>
      <w:pPr>
        <w:pStyle w:val="14"/>
        <w:numPr>
          <w:ilvl w:val="0"/>
          <w:numId w:val="8"/>
        </w:numPr>
        <w:spacing w:after="240" w:line="240" w:lineRule="auto"/>
        <w:ind w:left="643"/>
        <w:rPr>
          <w:sz w:val="22"/>
          <w:szCs w:val="22"/>
        </w:rPr>
      </w:pPr>
      <w:r>
        <w:rPr>
          <w:rFonts w:ascii="Arial" w:hAnsi="Arial" w:cs="Arial"/>
          <w:b w:val="0"/>
          <w:szCs w:val="24"/>
        </w:rPr>
        <w:t xml:space="preserve">they comply with their duties under legislation. They will comply with The Early Years Foundation Stage </w:t>
      </w:r>
      <w:r>
        <w:rPr>
          <w:rFonts w:ascii="Arial" w:hAnsi="Arial" w:cs="Arial"/>
          <w:szCs w:val="24"/>
        </w:rPr>
        <w:t>(EYFS 2017</w:t>
      </w:r>
      <w:r>
        <w:rPr>
          <w:rFonts w:ascii="Arial" w:hAnsi="Arial" w:cs="Arial"/>
          <w:b w:val="0"/>
          <w:szCs w:val="24"/>
        </w:rPr>
        <w:t>) Framework and the Local Safeguarding Children’s Board (LSCB) to ensure that the policies, procedures and training in our early years setting are effective and offer supervision including safeguarding supervision to the Manager/Pre School Leader</w:t>
      </w:r>
      <w:r>
        <w:rPr>
          <w:rFonts w:ascii="Arial" w:hAnsi="Arial" w:cs="Arial"/>
          <w:b w:val="0"/>
          <w:sz w:val="22"/>
          <w:szCs w:val="22"/>
        </w:rPr>
        <w:t>.</w:t>
      </w:r>
    </w:p>
    <w:p>
      <w:pPr>
        <w:pStyle w:val="14"/>
        <w:numPr>
          <w:ilvl w:val="0"/>
          <w:numId w:val="8"/>
        </w:numPr>
        <w:spacing w:after="240" w:line="240" w:lineRule="auto"/>
        <w:ind w:left="643"/>
        <w:rPr>
          <w:sz w:val="22"/>
          <w:szCs w:val="22"/>
        </w:rPr>
      </w:pPr>
      <w:r>
        <w:rPr>
          <w:rFonts w:ascii="Arial" w:hAnsi="Arial" w:cs="Arial"/>
          <w:b w:val="0"/>
          <w:szCs w:val="24"/>
        </w:rPr>
        <w:t>The director is nominated to liaise with the Local Authority Designated Officer (LADO) and partner agencies in the event of allegations of abuse made against the Nursery Manager/Pre School Leader of the early years setting.</w:t>
      </w:r>
    </w:p>
    <w:p>
      <w:pPr>
        <w:pStyle w:val="14"/>
        <w:numPr>
          <w:ilvl w:val="0"/>
          <w:numId w:val="8"/>
        </w:numPr>
        <w:spacing w:after="240" w:line="240" w:lineRule="auto"/>
        <w:ind w:left="643"/>
        <w:rPr>
          <w:sz w:val="22"/>
          <w:szCs w:val="22"/>
        </w:rPr>
      </w:pPr>
      <w:r>
        <w:rPr>
          <w:rFonts w:ascii="Arial" w:hAnsi="Arial" w:cs="Arial"/>
          <w:b w:val="0"/>
          <w:bCs/>
          <w:szCs w:val="24"/>
        </w:rPr>
        <w:t xml:space="preserve">all permanent staff, temporary staff and volunteers are made aware, understand and implement our </w:t>
      </w:r>
      <w:r>
        <w:rPr>
          <w:rFonts w:ascii="Arial" w:hAnsi="Arial" w:cs="Arial"/>
          <w:b w:val="0"/>
          <w:szCs w:val="24"/>
        </w:rPr>
        <w:t>early years setting’</w:t>
      </w:r>
      <w:r>
        <w:rPr>
          <w:rFonts w:ascii="Arial" w:hAnsi="Arial" w:cs="Arial"/>
          <w:b w:val="0"/>
          <w:bCs/>
          <w:szCs w:val="24"/>
        </w:rPr>
        <w:t xml:space="preserve">s policies and procedures for safeguarding children and child protection </w:t>
      </w:r>
      <w:r>
        <w:rPr>
          <w:rFonts w:ascii="Arial" w:hAnsi="Arial" w:cs="Arial"/>
          <w:bCs/>
          <w:szCs w:val="24"/>
        </w:rPr>
        <w:t>(3.6 EYFS)</w:t>
      </w:r>
    </w:p>
    <w:p>
      <w:pPr>
        <w:pStyle w:val="14"/>
        <w:spacing w:after="240" w:line="240" w:lineRule="auto"/>
        <w:ind w:left="643"/>
        <w:rPr>
          <w:rFonts w:ascii="Arial" w:hAnsi="Arial" w:cs="Arial" w:eastAsiaTheme="minorHAnsi"/>
          <w:color w:val="000000"/>
          <w:szCs w:val="24"/>
          <w:lang w:eastAsia="en-US"/>
        </w:rPr>
      </w:pPr>
      <w:r>
        <w:rPr>
          <w:rFonts w:ascii="Arial" w:hAnsi="Arial" w:cs="Arial" w:eastAsiaTheme="minorHAnsi"/>
          <w:b w:val="0"/>
          <w:color w:val="000000"/>
          <w:szCs w:val="24"/>
          <w:lang w:eastAsia="en-US"/>
        </w:rPr>
        <w:t xml:space="preserve">staff and volunteers receive appropriate training on safeguarding at induction that is updated regularly. Full day taining every three years which is given from the local authority safeguarding team. Refresher training every six months on noodle now  </w:t>
      </w:r>
      <w:r>
        <w:rPr>
          <w:rFonts w:ascii="Arial" w:hAnsi="Arial" w:cs="Arial" w:eastAsiaTheme="minorHAnsi"/>
          <w:color w:val="000000"/>
          <w:szCs w:val="24"/>
          <w:lang w:eastAsia="en-US"/>
        </w:rPr>
        <w:t>(3.20 EYFS)</w:t>
      </w:r>
    </w:p>
    <w:p>
      <w:pPr>
        <w:pStyle w:val="3"/>
        <w:rPr>
          <w:sz w:val="22"/>
          <w:szCs w:val="22"/>
        </w:rPr>
      </w:pPr>
      <w:bookmarkStart w:id="6" w:name="_Toc49500851"/>
      <w:r>
        <w:rPr>
          <w:rFonts w:eastAsiaTheme="minorHAnsi"/>
          <w:lang w:eastAsia="en-US"/>
        </w:rPr>
        <w:t>Key processes</w:t>
      </w:r>
      <w:bookmarkEnd w:id="6"/>
      <w:r>
        <w:rPr>
          <w:rFonts w:eastAsiaTheme="minorHAnsi"/>
          <w:lang w:eastAsia="en-US"/>
        </w:rPr>
        <w:t xml:space="preserve"> </w:t>
      </w:r>
    </w:p>
    <w:p>
      <w:pPr>
        <w:pStyle w:val="14"/>
        <w:numPr>
          <w:ilvl w:val="0"/>
          <w:numId w:val="9"/>
        </w:numPr>
        <w:spacing w:after="240" w:line="240" w:lineRule="auto"/>
        <w:ind w:left="643"/>
        <w:rPr>
          <w:rFonts w:ascii="Arial" w:hAnsi="Arial" w:cs="Arial"/>
          <w:b w:val="0"/>
          <w:bCs/>
          <w:szCs w:val="24"/>
        </w:rPr>
      </w:pPr>
      <w:r>
        <w:rPr>
          <w:rFonts w:ascii="Arial" w:hAnsi="Arial" w:cs="Arial"/>
          <w:b w:val="0"/>
          <w:bCs/>
          <w:szCs w:val="24"/>
        </w:rPr>
        <w:t>staff training includes discussions and briefings on local Serious Case Reviews (SCR’s) accessed from Local Multi Agency Safeguarding Arrangement (LMASA) website.</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our early years setting provides an appropriate safeguarding response in accordance with the Luton Local Safeguarding Children’s Board (LSCB) Thresholds Framework in order to safeguard children.</w:t>
      </w:r>
    </w:p>
    <w:p>
      <w:pPr>
        <w:pStyle w:val="14"/>
        <w:numPr>
          <w:ilvl w:val="0"/>
          <w:numId w:val="9"/>
        </w:numPr>
        <w:spacing w:after="240" w:line="240" w:lineRule="auto"/>
        <w:ind w:left="643"/>
        <w:rPr>
          <w:rFonts w:ascii="Arial" w:hAnsi="Arial" w:cs="Arial"/>
          <w:b w:val="0"/>
          <w:bCs/>
          <w:sz w:val="22"/>
          <w:szCs w:val="22"/>
        </w:rPr>
      </w:pPr>
      <w:r>
        <w:rPr>
          <w:rFonts w:ascii="Arial" w:hAnsi="Arial" w:cs="Arial"/>
          <w:b w:val="0"/>
          <w:szCs w:val="24"/>
        </w:rPr>
        <w:t xml:space="preserve">our early years setting follows local procedures for sharing intelligence in relation to Child Sexual Exploitation with Bedfordshire Police and the Single Point of Contact for CSE within Luton, including the use of the </w:t>
      </w:r>
      <w:r>
        <w:fldChar w:fldCharType="begin"/>
      </w:r>
      <w:r>
        <w:instrText xml:space="preserve"> HYPERLINK "http://lutonlscb.org.uk/documents/" </w:instrText>
      </w:r>
      <w:r>
        <w:fldChar w:fldCharType="separate"/>
      </w:r>
      <w:r>
        <w:rPr>
          <w:rStyle w:val="26"/>
          <w:rFonts w:ascii="Arial" w:hAnsi="Arial" w:cs="Arial"/>
          <w:b w:val="0"/>
          <w:szCs w:val="24"/>
        </w:rPr>
        <w:t>Multi Agency Submission form</w:t>
      </w:r>
      <w:r>
        <w:rPr>
          <w:rStyle w:val="26"/>
          <w:rFonts w:ascii="Arial" w:hAnsi="Arial" w:cs="Arial"/>
          <w:b w:val="0"/>
          <w:szCs w:val="24"/>
        </w:rPr>
        <w:fldChar w:fldCharType="end"/>
      </w:r>
      <w:bookmarkEnd w:id="5"/>
      <w:r>
        <w:rPr>
          <w:rFonts w:ascii="Arial" w:hAnsi="Arial" w:cs="Arial"/>
          <w:b w:val="0"/>
          <w:szCs w:val="24"/>
        </w:rPr>
        <w:t xml:space="preserve"> </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 xml:space="preserve">our early years setting initiates appropriate safeguarding responses to children who go missing while in the care of the setting in line with our Lost Child Policy </w:t>
      </w:r>
      <w:r>
        <w:rPr>
          <w:rFonts w:ascii="Arial" w:hAnsi="Arial" w:cs="Arial"/>
          <w:szCs w:val="24"/>
        </w:rPr>
        <w:t>(3.62 EYFS)</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 xml:space="preserve">our early years setting has a staff behaviour policy (sometimes called the Code of Conduct) which should include staff/child relationships and communications plus the use of social media and other online platforms </w:t>
      </w:r>
      <w:r>
        <w:rPr>
          <w:rFonts w:ascii="Arial" w:hAnsi="Arial" w:cs="Arial"/>
          <w:szCs w:val="24"/>
        </w:rPr>
        <w:t>(3.19, 3.20 EYFS)</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 xml:space="preserve">our early years setting has procedures for managing allegations and concerns about adults that work or volunteer with children and that these include the procedures for making referrals to the Disclosure and Barring Service </w:t>
      </w:r>
      <w:r>
        <w:rPr>
          <w:rFonts w:ascii="Arial" w:hAnsi="Arial" w:cs="Arial"/>
          <w:szCs w:val="24"/>
        </w:rPr>
        <w:t>(3.4 EYFS)</w:t>
      </w:r>
    </w:p>
    <w:p>
      <w:pPr>
        <w:pStyle w:val="14"/>
        <w:numPr>
          <w:ilvl w:val="0"/>
          <w:numId w:val="9"/>
        </w:numPr>
        <w:spacing w:after="240" w:line="240" w:lineRule="auto"/>
        <w:ind w:left="643"/>
        <w:rPr>
          <w:rFonts w:ascii="Arial" w:hAnsi="Arial" w:cs="Arial"/>
          <w:b w:val="0"/>
          <w:bCs/>
          <w:szCs w:val="24"/>
        </w:rPr>
      </w:pPr>
      <w:r>
        <w:rPr>
          <w:rFonts w:ascii="Arial" w:hAnsi="Arial" w:cs="Arial"/>
          <w:b w:val="0"/>
          <w:bCs/>
          <w:szCs w:val="24"/>
        </w:rPr>
        <w:t xml:space="preserve">that people looking after children are suitable and there must be an enhanced criminal record from the Disclosure and Barring Service in place for every person aged 16 or over who works directly with children, works on the premises on which childcare is provided (unless they do not work there during the times when children are present) </w:t>
      </w:r>
      <w:r>
        <w:rPr>
          <w:rFonts w:ascii="Arial" w:hAnsi="Arial" w:cs="Arial"/>
          <w:bCs/>
          <w:szCs w:val="24"/>
        </w:rPr>
        <w:t>(3.10 EYFS)</w:t>
      </w:r>
    </w:p>
    <w:p>
      <w:pPr>
        <w:pStyle w:val="14"/>
        <w:numPr>
          <w:ilvl w:val="0"/>
          <w:numId w:val="9"/>
        </w:numPr>
        <w:spacing w:after="240" w:line="240" w:lineRule="auto"/>
        <w:ind w:left="643"/>
        <w:rPr>
          <w:rFonts w:ascii="Arial" w:hAnsi="Arial" w:cs="Arial" w:eastAsiaTheme="minorHAnsi"/>
          <w:color w:val="000000"/>
          <w:szCs w:val="24"/>
          <w:lang w:eastAsia="en-US"/>
        </w:rPr>
      </w:pPr>
      <w:r>
        <w:rPr>
          <w:rFonts w:ascii="Arial" w:hAnsi="Arial" w:cs="Arial"/>
          <w:b w:val="0"/>
          <w:szCs w:val="24"/>
        </w:rPr>
        <w:t>our early years setting</w:t>
      </w:r>
      <w:r>
        <w:rPr>
          <w:rFonts w:ascii="Arial" w:hAnsi="Arial" w:cs="Arial"/>
          <w:szCs w:val="24"/>
        </w:rPr>
        <w:t xml:space="preserve"> </w:t>
      </w:r>
      <w:r>
        <w:rPr>
          <w:rFonts w:ascii="Arial" w:hAnsi="Arial" w:cs="Arial"/>
          <w:b w:val="0"/>
          <w:bCs/>
          <w:szCs w:val="24"/>
        </w:rPr>
        <w:t xml:space="preserve">operates safer recruitment procedures and ensures that appropriate checks and vetting is carried out on all new staff and relevant volunteer </w:t>
      </w:r>
      <w:r>
        <w:rPr>
          <w:rFonts w:ascii="Arial" w:hAnsi="Arial" w:cs="Arial" w:eastAsiaTheme="minorHAnsi"/>
          <w:b w:val="0"/>
          <w:color w:val="000000"/>
          <w:szCs w:val="24"/>
          <w:lang w:eastAsia="en-US"/>
        </w:rPr>
        <w:t>records must be easily accessible and available</w:t>
      </w:r>
    </w:p>
    <w:p>
      <w:pPr>
        <w:pStyle w:val="62"/>
        <w:numPr>
          <w:ilvl w:val="0"/>
          <w:numId w:val="9"/>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confidential information and records about staff and children is held securely and only accessible and available to those who have a right or professional need to see them </w:t>
      </w:r>
    </w:p>
    <w:p>
      <w:pPr>
        <w:pStyle w:val="62"/>
        <w:numPr>
          <w:ilvl w:val="0"/>
          <w:numId w:val="9"/>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our setting is aware of their responsibilities under the General Data Protection Act (GDPA) 2018 and where relevant the Freedom of Information Act 2000 </w:t>
      </w:r>
    </w:p>
    <w:p>
      <w:pPr>
        <w:pStyle w:val="62"/>
        <w:numPr>
          <w:ilvl w:val="0"/>
          <w:numId w:val="9"/>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all staff understand the need to protect the privacy of the children in their care and promote confidentiality at all times </w:t>
      </w:r>
      <w:r>
        <w:rPr>
          <w:rFonts w:cs="Arial" w:eastAsiaTheme="minorHAnsi"/>
          <w:b/>
          <w:color w:val="000000"/>
          <w:szCs w:val="24"/>
          <w:lang w:eastAsia="en-US"/>
        </w:rPr>
        <w:t>(3.69, 3.70 EYFS)</w:t>
      </w:r>
    </w:p>
    <w:p>
      <w:pPr>
        <w:pStyle w:val="62"/>
        <w:numPr>
          <w:ilvl w:val="0"/>
          <w:numId w:val="9"/>
        </w:numPr>
        <w:autoSpaceDE w:val="0"/>
        <w:autoSpaceDN w:val="0"/>
        <w:adjustRightInd w:val="0"/>
        <w:spacing w:after="240" w:line="240" w:lineRule="auto"/>
        <w:ind w:left="643"/>
        <w:rPr>
          <w:rFonts w:cs="Arial" w:eastAsiaTheme="minorHAnsi"/>
          <w:color w:val="000000"/>
          <w:szCs w:val="24"/>
          <w:lang w:eastAsia="en-US"/>
        </w:rPr>
      </w:pPr>
      <w:r>
        <w:rPr>
          <w:rFonts w:cs="Arial" w:eastAsiaTheme="minorHAnsi"/>
          <w:color w:val="000000"/>
          <w:szCs w:val="24"/>
          <w:lang w:eastAsia="en-US"/>
        </w:rPr>
        <w:t xml:space="preserve">records relating to individual children are retained for a reasonable period of time after they have left the provision </w:t>
      </w:r>
    </w:p>
    <w:p>
      <w:pPr>
        <w:pStyle w:val="62"/>
        <w:numPr>
          <w:ilvl w:val="0"/>
          <w:numId w:val="9"/>
        </w:numPr>
        <w:autoSpaceDE w:val="0"/>
        <w:autoSpaceDN w:val="0"/>
        <w:adjustRightInd w:val="0"/>
        <w:spacing w:after="240" w:line="240" w:lineRule="auto"/>
        <w:ind w:left="643"/>
        <w:rPr>
          <w:rFonts w:cs="Arial" w:eastAsiaTheme="minorHAnsi"/>
          <w:b/>
          <w:color w:val="000000"/>
          <w:szCs w:val="24"/>
          <w:lang w:eastAsia="en-US"/>
        </w:rPr>
      </w:pPr>
      <w:r>
        <w:rPr>
          <w:rFonts w:cs="Arial" w:eastAsiaTheme="minorHAnsi"/>
          <w:color w:val="000000"/>
          <w:szCs w:val="24"/>
          <w:lang w:eastAsia="en-US"/>
        </w:rPr>
        <w:t xml:space="preserve">we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 </w:t>
      </w:r>
      <w:r>
        <w:rPr>
          <w:rFonts w:cs="Arial"/>
          <w:b/>
          <w:szCs w:val="24"/>
        </w:rPr>
        <w:t>(3.68–3.72 EYFS)</w:t>
      </w:r>
    </w:p>
    <w:p>
      <w:pPr>
        <w:pStyle w:val="14"/>
        <w:numPr>
          <w:ilvl w:val="0"/>
          <w:numId w:val="9"/>
        </w:numPr>
        <w:spacing w:after="240"/>
        <w:ind w:left="643"/>
        <w:rPr>
          <w:rFonts w:ascii="Arial" w:hAnsi="Arial" w:cs="Arial"/>
          <w:b w:val="0"/>
          <w:bCs/>
          <w:szCs w:val="24"/>
        </w:rPr>
      </w:pPr>
      <w:r>
        <w:rPr>
          <w:rFonts w:ascii="Arial" w:hAnsi="Arial" w:cs="Arial"/>
          <w:b w:val="0"/>
          <w:bCs/>
          <w:szCs w:val="24"/>
        </w:rPr>
        <w:t xml:space="preserve">the </w:t>
      </w:r>
      <w:r>
        <w:rPr>
          <w:rFonts w:ascii="Arial" w:hAnsi="Arial" w:cs="Arial"/>
          <w:b w:val="0"/>
          <w:szCs w:val="24"/>
        </w:rPr>
        <w:t xml:space="preserve">Designated Safeguarding Officer (DSO) Lead and any Deputies undertake Local Safeguarding Children’s Board (LSCB) multi-agency higher level training to ensure they have the appropriate training, skills and knowledge to carry out this role.  In addition, the Designated Safeguarding Officer lead and any Deputies will update their knowledge by receiving safeguarding updates.  This may include support from the Local Authority Designated Safeguarding Officer (DSO) sessions, attendance at training and learning events offered by the Local Authority Safeguarding Children’s Board (LSCB), online updates via NSPCC or attendance at professional development events. </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all staff have up-to-date knowledge of safeguarding issues</w:t>
      </w:r>
      <w:r>
        <w:rPr>
          <w:rFonts w:ascii="Arial" w:hAnsi="Arial" w:cs="Arial"/>
          <w:szCs w:val="24"/>
        </w:rPr>
        <w:t xml:space="preserve"> (3.6 EYFS)</w:t>
      </w:r>
      <w:r>
        <w:rPr>
          <w:rFonts w:ascii="Arial" w:hAnsi="Arial" w:cs="Arial"/>
          <w:b w:val="0"/>
          <w:szCs w:val="24"/>
        </w:rPr>
        <w:t>staff know what to do in the event of a safeguarding concern and know who to speak to.</w:t>
      </w:r>
    </w:p>
    <w:p>
      <w:pPr>
        <w:pStyle w:val="3"/>
      </w:pPr>
      <w:bookmarkStart w:id="7" w:name="_Toc49500852"/>
      <w:r>
        <w:t>A safer culture</w:t>
      </w:r>
      <w:bookmarkEnd w:id="7"/>
      <w:r>
        <w:t xml:space="preserve"> </w:t>
      </w:r>
    </w:p>
    <w:p>
      <w:r>
        <w:t>A safer culture of working practice supports safeguarding in practice across all aspects of the setting this is implemented throughout our practice by ensuring the following:</w:t>
      </w:r>
    </w:p>
    <w:p>
      <w:pPr>
        <w:pStyle w:val="14"/>
        <w:numPr>
          <w:ilvl w:val="0"/>
          <w:numId w:val="9"/>
        </w:numPr>
        <w:spacing w:after="240" w:line="240" w:lineRule="auto"/>
        <w:ind w:left="643"/>
        <w:rPr>
          <w:rFonts w:ascii="Arial" w:hAnsi="Arial" w:cs="Arial"/>
          <w:b w:val="0"/>
          <w:bCs/>
          <w:szCs w:val="24"/>
        </w:rPr>
      </w:pPr>
      <w:r>
        <w:rPr>
          <w:rFonts w:ascii="Arial" w:hAnsi="Arial" w:cs="Arial"/>
          <w:b w:val="0"/>
          <w:bCs/>
          <w:szCs w:val="24"/>
        </w:rPr>
        <w:t>clear risk assessments are in place and respond consistently to protect children which enable them to take age appropriate and reasonable risks – see daily/annual risk assessment</w:t>
      </w:r>
    </w:p>
    <w:p>
      <w:pPr>
        <w:pStyle w:val="14"/>
        <w:numPr>
          <w:ilvl w:val="0"/>
          <w:numId w:val="9"/>
        </w:numPr>
        <w:spacing w:after="240" w:line="240" w:lineRule="auto"/>
        <w:ind w:left="643"/>
        <w:rPr>
          <w:rFonts w:ascii="Arial" w:hAnsi="Arial" w:cs="Arial"/>
          <w:b w:val="0"/>
          <w:bCs/>
          <w:szCs w:val="24"/>
        </w:rPr>
      </w:pPr>
      <w:r>
        <w:rPr>
          <w:rFonts w:ascii="Arial" w:hAnsi="Arial" w:cs="Arial"/>
          <w:b w:val="0"/>
          <w:bCs/>
          <w:szCs w:val="24"/>
        </w:rPr>
        <w:t>staff respond with clear boundaries about what is safe and acceptable and they seek to understand the triggers for children’s behaviour.</w:t>
      </w:r>
    </w:p>
    <w:p>
      <w:pPr>
        <w:pStyle w:val="14"/>
        <w:numPr>
          <w:ilvl w:val="0"/>
          <w:numId w:val="9"/>
        </w:numPr>
        <w:spacing w:after="240" w:line="240" w:lineRule="auto"/>
        <w:ind w:left="643"/>
        <w:rPr>
          <w:rFonts w:ascii="Arial" w:hAnsi="Arial" w:cs="Arial"/>
          <w:b w:val="0"/>
          <w:bCs/>
          <w:szCs w:val="24"/>
        </w:rPr>
      </w:pPr>
      <w:r>
        <w:rPr>
          <w:rFonts w:ascii="Arial" w:hAnsi="Arial" w:cs="Arial"/>
          <w:b w:val="0"/>
          <w:bCs/>
          <w:szCs w:val="24"/>
        </w:rPr>
        <w:t xml:space="preserve">in the event where physical restraint is used that the parents are informed on the same day </w:t>
      </w:r>
      <w:r>
        <w:rPr>
          <w:rFonts w:ascii="Arial" w:hAnsi="Arial" w:cs="Arial"/>
          <w:bCs/>
          <w:szCs w:val="24"/>
        </w:rPr>
        <w:t>(3.52 EYFS)</w:t>
      </w:r>
      <w:r>
        <w:rPr>
          <w:rFonts w:ascii="Arial" w:hAnsi="Arial" w:cs="Arial"/>
          <w:b w:val="0"/>
          <w:bCs/>
          <w:szCs w:val="24"/>
        </w:rPr>
        <w:t xml:space="preserve"> – See managing children’s behaviour policy</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the culture of this early years setting is one that is safe for children and unsafe for adults that may pose a risk to children</w:t>
      </w:r>
    </w:p>
    <w:p>
      <w:pPr>
        <w:pStyle w:val="14"/>
        <w:numPr>
          <w:ilvl w:val="0"/>
          <w:numId w:val="9"/>
        </w:numPr>
        <w:spacing w:after="240" w:line="240" w:lineRule="auto"/>
        <w:ind w:left="643"/>
        <w:rPr>
          <w:rFonts w:ascii="Arial" w:hAnsi="Arial" w:cs="Arial"/>
          <w:b w:val="0"/>
          <w:bCs/>
          <w:szCs w:val="24"/>
        </w:rPr>
      </w:pPr>
      <w:bookmarkStart w:id="8" w:name="_Hlk115261488"/>
      <w:r>
        <w:rPr>
          <w:rFonts w:ascii="Arial" w:hAnsi="Arial" w:cs="Arial"/>
          <w:b w:val="0"/>
          <w:szCs w:val="24"/>
        </w:rPr>
        <w:t xml:space="preserve">Safeguarding is the responsibility of all adults working or volunteering within the pre-school </w:t>
      </w:r>
      <w:bookmarkEnd w:id="8"/>
      <w:r>
        <w:rPr>
          <w:rFonts w:ascii="Arial" w:hAnsi="Arial" w:cs="Arial"/>
          <w:b w:val="0"/>
          <w:szCs w:val="24"/>
        </w:rPr>
        <w:t>and that all concerns will be reported to the Designated safeguarding officer or manager or pre school leader when concerns relate to an adult</w:t>
      </w:r>
    </w:p>
    <w:p>
      <w:pPr>
        <w:pStyle w:val="14"/>
        <w:numPr>
          <w:ilvl w:val="0"/>
          <w:numId w:val="9"/>
        </w:numPr>
        <w:spacing w:after="240" w:line="240" w:lineRule="auto"/>
        <w:ind w:left="643"/>
        <w:rPr>
          <w:rFonts w:ascii="Arial" w:hAnsi="Arial" w:cs="Arial"/>
          <w:b w:val="0"/>
          <w:bCs/>
          <w:szCs w:val="24"/>
        </w:rPr>
      </w:pPr>
      <w:r>
        <w:rPr>
          <w:rFonts w:ascii="Arial" w:hAnsi="Arial" w:cs="Arial"/>
          <w:b w:val="0"/>
          <w:szCs w:val="24"/>
        </w:rPr>
        <w:t>the early years setting has a culture of listening to, and hearing the voice of the child</w:t>
      </w:r>
      <w:r>
        <w:rPr>
          <w:rFonts w:ascii="Arial" w:hAnsi="Arial" w:cs="Arial"/>
          <w:b w:val="0"/>
          <w:szCs w:val="24"/>
        </w:rPr>
        <w:br w:type="textWrapping"/>
      </w:r>
    </w:p>
    <w:p>
      <w:pPr>
        <w:pStyle w:val="14"/>
        <w:spacing w:after="240"/>
        <w:rPr>
          <w:rStyle w:val="36"/>
          <w:rFonts w:cs="Arial"/>
          <w:b/>
          <w:szCs w:val="24"/>
        </w:rPr>
      </w:pPr>
      <w:r>
        <w:rPr>
          <w:rFonts w:ascii="Arial" w:hAnsi="Arial" w:cs="Arial"/>
          <w:szCs w:val="24"/>
        </w:rPr>
        <w:t>I</w:t>
      </w:r>
      <w:r>
        <w:rPr>
          <w:rStyle w:val="36"/>
          <w:b/>
        </w:rPr>
        <w:t>nspection</w:t>
      </w:r>
    </w:p>
    <w:p>
      <w:pPr>
        <w:pStyle w:val="14"/>
        <w:spacing w:after="240" w:line="240" w:lineRule="auto"/>
        <w:rPr>
          <w:rFonts w:ascii="Arial" w:hAnsi="Arial" w:cs="Arial"/>
          <w:b w:val="0"/>
          <w:szCs w:val="24"/>
        </w:rPr>
      </w:pPr>
      <w:r>
        <w:rPr>
          <w:rFonts w:ascii="Arial" w:hAnsi="Arial" w:cs="Arial"/>
          <w:b w:val="0"/>
          <w:szCs w:val="24"/>
        </w:rPr>
        <w:t xml:space="preserve">From September 2019, Ofsted’s inspections of early years, schools and post-16 provision will be carried out under: </w:t>
      </w:r>
      <w:r>
        <w:fldChar w:fldCharType="begin"/>
      </w:r>
      <w:r>
        <w:instrText xml:space="preserve"> HYPERLINK "https://assets.publishing.service.gov.uk/government/uploads/system/uploads/attachment_data/file/801429/Education_inspection_framework.pdf" </w:instrText>
      </w:r>
      <w:r>
        <w:fldChar w:fldCharType="separate"/>
      </w:r>
      <w:r>
        <w:rPr>
          <w:rStyle w:val="26"/>
          <w:rFonts w:ascii="Arial" w:hAnsi="Arial" w:cs="Arial"/>
          <w:b w:val="0"/>
          <w:color w:val="auto"/>
          <w:szCs w:val="24"/>
        </w:rPr>
        <w:t>Ofsted’s Education Framework</w:t>
      </w:r>
      <w:r>
        <w:rPr>
          <w:rStyle w:val="26"/>
          <w:rFonts w:ascii="Arial" w:hAnsi="Arial" w:cs="Arial"/>
          <w:b w:val="0"/>
          <w:color w:val="auto"/>
          <w:szCs w:val="24"/>
        </w:rPr>
        <w:fldChar w:fldCharType="end"/>
      </w:r>
    </w:p>
    <w:p>
      <w:pPr>
        <w:pStyle w:val="3"/>
        <w:rPr>
          <w:bCs/>
        </w:rPr>
      </w:pPr>
      <w:bookmarkStart w:id="9" w:name="_Toc49500853"/>
      <w:r>
        <w:t>Safeguarding in specific circumstances</w:t>
      </w:r>
      <w:bookmarkEnd w:id="9"/>
      <w:r>
        <w:t xml:space="preserve"> </w:t>
      </w:r>
    </w:p>
    <w:p>
      <w:pPr>
        <w:pStyle w:val="14"/>
        <w:spacing w:after="240" w:line="240" w:lineRule="auto"/>
        <w:rPr>
          <w:rFonts w:ascii="Arial" w:hAnsi="Arial" w:cs="Arial"/>
          <w:b w:val="0"/>
          <w:szCs w:val="24"/>
        </w:rPr>
      </w:pPr>
      <w:r>
        <w:rPr>
          <w:rFonts w:ascii="Arial" w:hAnsi="Arial" w:cs="Arial"/>
          <w:b w:val="0"/>
          <w:szCs w:val="24"/>
        </w:rPr>
        <w:t>Our early years setting pays due regard to the need to safeguard children in specific circumstances and training will incorporate Child Sexual Exploitation (CSE), vulnerability to radicalisation, Female Genital Mutilation (FGM), peer on peer abuse which can include gang initiation or hazing type related violence, cyberbullying, sexually harmful behaviours or youth produced sexual imagery. See appendix 5, 6, 7 and 8, 9</w:t>
      </w:r>
    </w:p>
    <w:p>
      <w:pPr>
        <w:pStyle w:val="3"/>
      </w:pPr>
      <w:bookmarkStart w:id="10" w:name="_Toc49500854"/>
      <w:r>
        <w:t>Sexualised behaviours</w:t>
      </w:r>
      <w:bookmarkEnd w:id="10"/>
      <w:r>
        <w:t xml:space="preserve"> </w:t>
      </w:r>
    </w:p>
    <w:p>
      <w:pPr>
        <w:pStyle w:val="53"/>
        <w:rPr>
          <w:rFonts w:ascii="Arial" w:hAnsi="Arial" w:cs="Arial"/>
          <w:sz w:val="24"/>
          <w:szCs w:val="24"/>
        </w:rPr>
      </w:pPr>
      <w:r>
        <w:rPr>
          <w:rFonts w:ascii="Arial" w:hAnsi="Arial" w:cs="Arial"/>
          <w:sz w:val="24"/>
          <w:szCs w:val="24"/>
        </w:rPr>
        <w:t>Where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developmental or a cause for concern. This will assist in ensuring the child/ren receive the right support at the right time either via an Early Help response or referral to Multi Agency Safeguarding Hub (MASH).</w:t>
      </w:r>
    </w:p>
    <w:p>
      <w:pPr>
        <w:pStyle w:val="53"/>
        <w:rPr>
          <w:rFonts w:ascii="Arial" w:hAnsi="Arial" w:cs="Arial"/>
          <w:sz w:val="24"/>
          <w:szCs w:val="24"/>
        </w:rPr>
      </w:pPr>
    </w:p>
    <w:p>
      <w:pPr>
        <w:pStyle w:val="53"/>
        <w:rPr>
          <w:rFonts w:ascii="Arial" w:hAnsi="Arial" w:cs="Arial"/>
          <w:sz w:val="24"/>
          <w:szCs w:val="24"/>
        </w:rPr>
      </w:pPr>
      <w:r>
        <w:rPr>
          <w:rFonts w:ascii="Arial" w:hAnsi="Arial" w:cs="Arial"/>
          <w:sz w:val="24"/>
          <w:szCs w:val="24"/>
        </w:rPr>
        <w:t>In all cases of peer on peer abuse the early years setting will consider the vulnerability of all children including those alleged to have caused the harm and those alleged to be victims and provide a safeguarding response consistent with the Luton Thresholds Framework.</w:t>
      </w:r>
    </w:p>
    <w:p>
      <w:pPr>
        <w:spacing w:after="240"/>
        <w:ind w:left="283"/>
        <w:rPr>
          <w:lang w:val="en"/>
        </w:rPr>
      </w:pPr>
    </w:p>
    <w:p>
      <w:pPr>
        <w:pStyle w:val="3"/>
      </w:pPr>
      <w:bookmarkStart w:id="11" w:name="_Toc49500855"/>
      <w:r>
        <w:t>Child Sexual Exploitation (CSE) and Criminal Exploitation (CCE)</w:t>
      </w:r>
      <w:bookmarkEnd w:id="11"/>
    </w:p>
    <w:p>
      <w:pPr>
        <w:spacing w:after="240"/>
      </w:pPr>
      <w:r>
        <w:rPr>
          <w:rFonts w:eastAsia="Calibri"/>
          <w:szCs w:val="23"/>
          <w:lang w:eastAsia="en-US"/>
        </w:rPr>
        <w:t>Both CSE and CCE are forms of abuse and both occur where an individual or group takes advantage of an imbalance in power to coerce, manipulate or deceive a child into sexual or criminal activity. Whilst age may be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 be accompanied by violence or threats of violence. Victims can be exploited even when activity appears consensual and it should be noted exploitation as well as being physical can be facilitated and/or take place online. More information including definitions and indicators are in Appendix 9.</w:t>
      </w:r>
    </w:p>
    <w:p>
      <w:pPr>
        <w:spacing w:after="240"/>
        <w:rPr>
          <w:rFonts w:cs="Arial"/>
          <w:szCs w:val="24"/>
        </w:rPr>
      </w:pPr>
      <w:r>
        <w:rPr>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fldChar w:fldCharType="begin"/>
      </w:r>
      <w:r>
        <w:instrText xml:space="preserve"> HYPERLINK "https://www.gov.uk/government/publications/child-sexual-exploitation-definition-and-guide-for-practitioners" </w:instrText>
      </w:r>
      <w:r>
        <w:fldChar w:fldCharType="separate"/>
      </w:r>
      <w:r>
        <w:rPr>
          <w:rStyle w:val="26"/>
          <w:szCs w:val="24"/>
        </w:rPr>
        <w:t>Child sexual exploitation</w:t>
      </w:r>
      <w:r>
        <w:rPr>
          <w:rStyle w:val="26"/>
          <w:szCs w:val="24"/>
        </w:rPr>
        <w:fldChar w:fldCharType="end"/>
      </w:r>
      <w:r>
        <w:rPr>
          <w:szCs w:val="24"/>
        </w:rPr>
        <w:t xml:space="preserve"> does not always involve physical contact; it can also occur through the use of technology. </w:t>
      </w:r>
    </w:p>
    <w:p>
      <w:pPr>
        <w:spacing w:after="240"/>
        <w:rPr>
          <w:rFonts w:cs="Arial"/>
          <w:szCs w:val="24"/>
        </w:rPr>
      </w:pPr>
      <w:r>
        <w:rPr>
          <w:rFonts w:cs="Arial"/>
          <w:iCs/>
          <w:szCs w:val="24"/>
        </w:rPr>
        <w:t>Child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pPr>
        <w:pStyle w:val="62"/>
        <w:numPr>
          <w:ilvl w:val="0"/>
          <w:numId w:val="10"/>
        </w:numPr>
        <w:spacing w:after="240"/>
        <w:ind w:left="643"/>
        <w:rPr>
          <w:rFonts w:cs="Arial"/>
          <w:szCs w:val="24"/>
        </w:rPr>
      </w:pPr>
      <w:r>
        <w:rPr>
          <w:rFonts w:cs="Arial"/>
          <w:szCs w:val="24"/>
        </w:rPr>
        <w:t>the early years setting recognises that both boys and girls can be vulnerable to child sexual exploitation and as such ensure staff are alert to signs and indicators</w:t>
      </w:r>
    </w:p>
    <w:p>
      <w:pPr>
        <w:pStyle w:val="62"/>
        <w:numPr>
          <w:ilvl w:val="0"/>
          <w:numId w:val="10"/>
        </w:numPr>
        <w:spacing w:after="240"/>
        <w:ind w:left="643"/>
        <w:rPr>
          <w:rFonts w:cs="Arial"/>
          <w:szCs w:val="24"/>
        </w:rPr>
      </w:pPr>
      <w:r>
        <w:rPr>
          <w:rFonts w:cs="Arial"/>
          <w:szCs w:val="24"/>
        </w:rPr>
        <w:t>the setting recognises that there are various ‘models’ of CSE which include but not limited to:</w:t>
      </w:r>
    </w:p>
    <w:p>
      <w:pPr>
        <w:spacing w:after="240"/>
        <w:ind w:left="720" w:firstLine="720"/>
        <w:rPr>
          <w:rFonts w:cs="Arial"/>
          <w:szCs w:val="24"/>
        </w:rPr>
      </w:pPr>
      <w:r>
        <w:rPr>
          <w:rFonts w:cs="Arial"/>
          <w:szCs w:val="24"/>
        </w:rPr>
        <w:t>gangs and groups</w:t>
      </w:r>
      <w:r>
        <w:rPr>
          <w:rFonts w:cs="Arial"/>
          <w:szCs w:val="24"/>
        </w:rPr>
        <w:tab/>
      </w:r>
      <w:r>
        <w:rPr>
          <w:rFonts w:cs="Arial"/>
          <w:szCs w:val="24"/>
        </w:rPr>
        <w:tab/>
      </w:r>
      <w:r>
        <w:rPr>
          <w:rFonts w:cs="Arial"/>
          <w:szCs w:val="24"/>
        </w:rPr>
        <w:tab/>
      </w:r>
      <w:r>
        <w:rPr>
          <w:rFonts w:cs="Arial"/>
          <w:szCs w:val="24"/>
        </w:rPr>
        <w:t>boyfriend/girlfriend model</w:t>
      </w:r>
    </w:p>
    <w:p>
      <w:pPr>
        <w:spacing w:after="240"/>
        <w:ind w:left="720" w:firstLine="720"/>
        <w:rPr>
          <w:rFonts w:cs="Arial"/>
          <w:szCs w:val="24"/>
        </w:rPr>
      </w:pPr>
      <w:r>
        <w:rPr>
          <w:rFonts w:cs="Arial"/>
          <w:szCs w:val="24"/>
        </w:rPr>
        <w:t>peer on peer</w:t>
      </w:r>
      <w:r>
        <w:rPr>
          <w:rFonts w:cs="Arial"/>
          <w:szCs w:val="24"/>
        </w:rPr>
        <w:tab/>
      </w:r>
      <w:r>
        <w:rPr>
          <w:rFonts w:cs="Arial"/>
          <w:szCs w:val="24"/>
        </w:rPr>
        <w:tab/>
      </w:r>
      <w:r>
        <w:rPr>
          <w:rFonts w:cs="Arial"/>
          <w:szCs w:val="24"/>
        </w:rPr>
        <w:tab/>
      </w:r>
      <w:r>
        <w:rPr>
          <w:rFonts w:cs="Arial"/>
          <w:szCs w:val="24"/>
        </w:rPr>
        <w:tab/>
      </w:r>
      <w:r>
        <w:rPr>
          <w:rFonts w:cs="Arial"/>
          <w:szCs w:val="24"/>
        </w:rPr>
        <w:t>familial</w:t>
      </w:r>
    </w:p>
    <w:p>
      <w:pPr>
        <w:spacing w:after="240"/>
        <w:ind w:left="720" w:firstLine="720"/>
        <w:rPr>
          <w:rFonts w:cs="Arial"/>
          <w:szCs w:val="24"/>
        </w:rPr>
      </w:pPr>
      <w:r>
        <w:rPr>
          <w:rFonts w:cs="Arial"/>
          <w:szCs w:val="24"/>
        </w:rPr>
        <w:t>online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abuse of authority</w:t>
      </w:r>
    </w:p>
    <w:p>
      <w:pPr>
        <w:pStyle w:val="62"/>
        <w:numPr>
          <w:ilvl w:val="0"/>
          <w:numId w:val="11"/>
        </w:numPr>
        <w:spacing w:after="240"/>
        <w:ind w:left="643"/>
        <w:rPr>
          <w:rFonts w:cs="Arial"/>
          <w:szCs w:val="24"/>
        </w:rPr>
      </w:pPr>
      <w:r>
        <w:rPr>
          <w:rFonts w:cs="Arial"/>
          <w:szCs w:val="24"/>
        </w:rPr>
        <w:t>where concerns are identified in relation to child sexual exploitation the Luton  Thresholds Framework will be consulted in order to ensure the child receives support at the earliest possible opportunity</w:t>
      </w:r>
    </w:p>
    <w:p>
      <w:pPr>
        <w:pStyle w:val="62"/>
        <w:numPr>
          <w:ilvl w:val="0"/>
          <w:numId w:val="11"/>
        </w:numPr>
        <w:spacing w:after="240"/>
        <w:ind w:left="643"/>
        <w:rPr>
          <w:rFonts w:cs="Arial"/>
          <w:szCs w:val="24"/>
        </w:rPr>
      </w:pPr>
      <w:r>
        <w:rPr>
          <w:rFonts w:cs="Arial"/>
          <w:szCs w:val="24"/>
        </w:rPr>
        <w:t>an early help multi agency response may be initiated by completing an Early Help Assessment form and engaging with the Early Help Hub or Stronger family’s team.  Where parental consent cannot be obtained, advice will be sought from the Early Help Hub</w:t>
      </w:r>
    </w:p>
    <w:p>
      <w:pPr>
        <w:pStyle w:val="62"/>
        <w:numPr>
          <w:ilvl w:val="0"/>
          <w:numId w:val="11"/>
        </w:numPr>
        <w:spacing w:after="240"/>
        <w:ind w:left="643"/>
        <w:rPr>
          <w:rFonts w:cs="Arial"/>
          <w:szCs w:val="24"/>
        </w:rPr>
      </w:pPr>
      <w:r>
        <w:rPr>
          <w:rFonts w:cs="Arial"/>
          <w:szCs w:val="24"/>
        </w:rPr>
        <w:t>if a child is thought to be at risk of significant harm through child sexual exploitation a referral will be made to the Multi Agency Safeguarding Hub within children’s social care</w:t>
      </w:r>
    </w:p>
    <w:p>
      <w:pPr>
        <w:pStyle w:val="62"/>
        <w:numPr>
          <w:ilvl w:val="0"/>
          <w:numId w:val="11"/>
        </w:numPr>
        <w:spacing w:after="240"/>
        <w:ind w:left="643"/>
        <w:rPr>
          <w:rFonts w:cs="Arial"/>
          <w:szCs w:val="24"/>
        </w:rPr>
      </w:pPr>
      <w:r>
        <w:rPr>
          <w:rFonts w:cs="Arial"/>
          <w:szCs w:val="24"/>
        </w:rPr>
        <w:t>in all cases intelligence will be shared with Bedfordshire Police using the information sharing form which will also be copied to the Single Point Of Contact for CSE within Luton Council</w:t>
      </w:r>
    </w:p>
    <w:p>
      <w:pPr>
        <w:spacing w:after="240"/>
        <w:rPr>
          <w:lang w:val="en"/>
        </w:rPr>
      </w:pPr>
    </w:p>
    <w:p>
      <w:pPr>
        <w:pStyle w:val="3"/>
      </w:pPr>
      <w:bookmarkStart w:id="12" w:name="_Toc49500856"/>
      <w:r>
        <w:t>Female Genital Mutilation</w:t>
      </w:r>
      <w:bookmarkEnd w:id="12"/>
      <w:r>
        <w:t xml:space="preserve"> </w:t>
      </w:r>
    </w:p>
    <w:p>
      <w:pPr>
        <w:pStyle w:val="53"/>
        <w:spacing w:after="100" w:afterAutospacing="1"/>
        <w:rPr>
          <w:rFonts w:ascii="Arial" w:hAnsi="Arial" w:cs="Arial"/>
          <w:sz w:val="24"/>
          <w:szCs w:val="24"/>
        </w:rPr>
      </w:pPr>
      <w:r>
        <w:rPr>
          <w:rFonts w:ascii="Arial" w:hAnsi="Arial" w:cs="Arial"/>
          <w:sz w:val="24"/>
          <w:szCs w:val="24"/>
        </w:rPr>
        <w:t>FGM comprises all procedures involving partial or total removal of the external female genitalia or other injury to the female genital organs. It can be known as female circumcision or female genital cutting and is often carried out for cultural, religious and social reasons within families and communities FGM is illegal in the UK and it’s also illegal to take a British national or permanent resident abroad for FGM, or help someone trying to do this i</w:t>
      </w:r>
      <w:r>
        <w:rPr>
          <w:rFonts w:ascii="Arial" w:hAnsi="Arial" w:cs="Arial"/>
          <w:bCs/>
          <w:sz w:val="24"/>
          <w:szCs w:val="24"/>
        </w:rPr>
        <w:t xml:space="preserve">f the early years setting are concerned that a child / young person has experienced or is at risk of FGM a Child Protection referral will be made to the Multi Agency Safeguarding Hub in accordance with interagency procedures produced by the LSCB. </w:t>
      </w:r>
      <w:r>
        <w:rPr>
          <w:rFonts w:ascii="Arial" w:hAnsi="Arial" w:cs="Arial"/>
          <w:sz w:val="24"/>
          <w:szCs w:val="24"/>
        </w:rPr>
        <w:t>Further information regarding FGM can be found in Appendix five.</w:t>
      </w:r>
    </w:p>
    <w:p>
      <w:pPr>
        <w:pStyle w:val="3"/>
      </w:pPr>
      <w:bookmarkStart w:id="13" w:name="_Toc49500857"/>
      <w:r>
        <w:t>Forced marriage</w:t>
      </w:r>
      <w:bookmarkEnd w:id="13"/>
      <w:r>
        <w:t xml:space="preserve"> </w:t>
      </w:r>
    </w:p>
    <w:p>
      <w:pPr>
        <w:pStyle w:val="53"/>
        <w:rPr>
          <w:rFonts w:ascii="Arial" w:hAnsi="Arial" w:cs="Arial"/>
          <w:sz w:val="24"/>
          <w:szCs w:val="24"/>
        </w:rPr>
      </w:pPr>
      <w:r>
        <w:rPr>
          <w:rFonts w:ascii="Arial" w:hAnsi="Arial" w:cs="Arial"/>
          <w:sz w:val="24"/>
          <w:szCs w:val="24"/>
          <w:lang w:val="en"/>
        </w:rPr>
        <w:t>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w:t>
      </w:r>
    </w:p>
    <w:p>
      <w:pPr>
        <w:pStyle w:val="53"/>
        <w:rPr>
          <w:rFonts w:ascii="Arial" w:hAnsi="Arial" w:cs="Arial"/>
          <w:sz w:val="24"/>
          <w:szCs w:val="24"/>
        </w:rPr>
      </w:pPr>
      <w:r>
        <w:rPr>
          <w:rFonts w:ascii="Arial" w:hAnsi="Arial" w:cs="Arial"/>
          <w:sz w:val="24"/>
          <w:szCs w:val="24"/>
          <w:lang w:val="en"/>
        </w:rPr>
        <w:t>The pressure put on people to marry against their will can be physical (including threats, actual physical violence and sexual violence) or emotional and psychological (for example, when someone is made to feel like they are bringing shame on their family). Financial abuse (taking your wages or not giving you any money) can also be a factor</w:t>
      </w:r>
    </w:p>
    <w:p>
      <w:pPr>
        <w:pStyle w:val="53"/>
        <w:rPr>
          <w:rFonts w:ascii="Arial" w:hAnsi="Arial" w:cs="Arial"/>
          <w:sz w:val="24"/>
          <w:szCs w:val="24"/>
          <w:lang w:val="en"/>
        </w:rPr>
      </w:pPr>
      <w:r>
        <w:rPr>
          <w:rFonts w:ascii="Arial" w:hAnsi="Arial" w:cs="Arial"/>
          <w:sz w:val="24"/>
          <w:szCs w:val="24"/>
          <w:lang w:val="en"/>
        </w:rPr>
        <w:t>The Anti-social Behavior, Crime and Policing Act 2014 makes it a criminal offence to force someone to marry. This includes:</w:t>
      </w:r>
    </w:p>
    <w:p>
      <w:pPr>
        <w:pStyle w:val="53"/>
        <w:ind w:left="283"/>
        <w:rPr>
          <w:rFonts w:ascii="Arial" w:hAnsi="Arial" w:cs="Arial"/>
          <w:sz w:val="24"/>
          <w:szCs w:val="24"/>
        </w:rPr>
      </w:pPr>
    </w:p>
    <w:p>
      <w:pPr>
        <w:pStyle w:val="62"/>
        <w:numPr>
          <w:ilvl w:val="0"/>
          <w:numId w:val="12"/>
        </w:numPr>
        <w:spacing w:after="240" w:line="240" w:lineRule="auto"/>
        <w:rPr>
          <w:rFonts w:cs="Arial"/>
          <w:szCs w:val="24"/>
          <w:lang w:val="en"/>
        </w:rPr>
      </w:pPr>
      <w:r>
        <w:rPr>
          <w:rFonts w:cs="Arial"/>
          <w:szCs w:val="24"/>
          <w:lang w:val="en"/>
        </w:rPr>
        <w:t>taking someone overseas to force them to marry (whether or not the forced marriage takes place)</w:t>
      </w:r>
    </w:p>
    <w:p>
      <w:pPr>
        <w:pStyle w:val="62"/>
        <w:numPr>
          <w:ilvl w:val="0"/>
          <w:numId w:val="12"/>
        </w:numPr>
        <w:spacing w:after="240" w:line="240" w:lineRule="auto"/>
        <w:rPr>
          <w:rFonts w:cs="Arial"/>
          <w:szCs w:val="24"/>
          <w:lang w:val="en"/>
        </w:rPr>
      </w:pPr>
      <w:r>
        <w:rPr>
          <w:rFonts w:cs="Arial"/>
          <w:szCs w:val="24"/>
          <w:lang w:val="en"/>
        </w:rPr>
        <w:t>marrying someone who lacks the mental capacity to consent to the marriage (whether they’re pressured to or not)</w:t>
      </w:r>
    </w:p>
    <w:p>
      <w:pPr>
        <w:pStyle w:val="62"/>
        <w:numPr>
          <w:ilvl w:val="0"/>
          <w:numId w:val="12"/>
        </w:numPr>
        <w:spacing w:after="240" w:line="240" w:lineRule="auto"/>
        <w:rPr>
          <w:rFonts w:cs="Arial"/>
          <w:b/>
          <w:szCs w:val="24"/>
          <w:lang w:val="en"/>
        </w:rPr>
      </w:pPr>
      <w:r>
        <w:rPr>
          <w:rFonts w:cs="Arial"/>
          <w:szCs w:val="24"/>
          <w:lang w:val="en"/>
        </w:rPr>
        <w:t>breaching a Forced Marriage Protection Order</w:t>
      </w:r>
    </w:p>
    <w:p>
      <w:pPr>
        <w:pStyle w:val="3"/>
        <w:rPr>
          <w:lang w:val="en"/>
        </w:rPr>
      </w:pPr>
      <w:bookmarkStart w:id="14" w:name="_Toc49500858"/>
      <w:r>
        <w:rPr>
          <w:lang w:val="en"/>
        </w:rPr>
        <w:t>Modern slavery</w:t>
      </w:r>
      <w:bookmarkEnd w:id="14"/>
      <w:r>
        <w:rPr>
          <w:lang w:val="en"/>
        </w:rPr>
        <w:t xml:space="preserve"> </w:t>
      </w:r>
    </w:p>
    <w:p>
      <w:pPr>
        <w:pStyle w:val="62"/>
        <w:spacing w:after="240" w:line="240" w:lineRule="auto"/>
        <w:ind w:left="0"/>
        <w:rPr>
          <w:rFonts w:cs="Arial"/>
          <w:szCs w:val="24"/>
        </w:rPr>
      </w:pPr>
      <w:r>
        <w:rPr>
          <w:rFonts w:cs="Arial"/>
          <w:szCs w:val="24"/>
        </w:rPr>
        <w:t>Modern Slavery is the term used within the UK and is defined within the Modern Slavery Act 2015. The Act categorises offences of Slavery, Servitude and Forced or Compulsory Labour and Human Trafficking (the definition of which comes from the Palermo Protocol)</w:t>
      </w:r>
      <w:r>
        <w:rPr>
          <w:rFonts w:cs="Arial"/>
          <w:szCs w:val="24"/>
        </w:rPr>
        <w:br w:type="textWrapping"/>
      </w:r>
      <w:r>
        <w:rPr>
          <w:rFonts w:cs="Arial"/>
          <w:szCs w:val="24"/>
        </w:rPr>
        <w:t xml:space="preserve">These crimes include holding a person in a position of slavery, servitude forced or compulsory labour, or facilitating their travel with the intention of exploiting them soon after. </w:t>
      </w:r>
      <w:r>
        <w:rPr>
          <w:rFonts w:cs="Arial"/>
          <w:szCs w:val="24"/>
        </w:rPr>
        <w:br w:type="textWrapping"/>
      </w:r>
      <w:r>
        <w:rPr>
          <w:rFonts w:cs="Arial"/>
          <w:szCs w:val="24"/>
        </w:rPr>
        <w:t>Although human trafficking often involves an international cross-border element, it is also possible to be a victim of modern slavery within your own country.</w:t>
      </w:r>
      <w:r>
        <w:rPr>
          <w:rFonts w:cs="Arial"/>
          <w:szCs w:val="24"/>
        </w:rPr>
        <w:br w:type="textWrapping"/>
      </w:r>
    </w:p>
    <w:p>
      <w:pPr>
        <w:pStyle w:val="3"/>
      </w:pPr>
      <w:bookmarkStart w:id="15" w:name="_Toc49500859"/>
      <w:r>
        <w:t>Types of human trafficking</w:t>
      </w:r>
      <w:bookmarkEnd w:id="15"/>
    </w:p>
    <w:p>
      <w:pPr>
        <w:pStyle w:val="27"/>
        <w:spacing w:before="0" w:beforeAutospacing="0" w:after="240" w:afterAutospacing="0"/>
        <w:rPr>
          <w:rFonts w:ascii="Arial" w:hAnsi="Arial" w:cs="Arial"/>
        </w:rPr>
      </w:pPr>
      <w:r>
        <w:rPr>
          <w:rFonts w:ascii="Arial" w:hAnsi="Arial" w:cs="Arial"/>
        </w:rPr>
        <w:t>There are several broad categories of exploitation linked to human trafficking, including:</w:t>
      </w:r>
    </w:p>
    <w:p>
      <w:pPr>
        <w:numPr>
          <w:ilvl w:val="0"/>
          <w:numId w:val="13"/>
        </w:numPr>
        <w:spacing w:after="240" w:line="240" w:lineRule="auto"/>
        <w:ind w:left="643"/>
        <w:rPr>
          <w:rFonts w:cs="Arial"/>
          <w:szCs w:val="24"/>
        </w:rPr>
      </w:pPr>
      <w:r>
        <w:rPr>
          <w:rFonts w:cs="Arial"/>
          <w:szCs w:val="24"/>
        </w:rPr>
        <w:t>sexual exploitation</w:t>
      </w:r>
    </w:p>
    <w:p>
      <w:pPr>
        <w:numPr>
          <w:ilvl w:val="0"/>
          <w:numId w:val="13"/>
        </w:numPr>
        <w:spacing w:after="240" w:line="240" w:lineRule="auto"/>
        <w:ind w:left="643"/>
        <w:rPr>
          <w:rFonts w:cs="Arial"/>
          <w:szCs w:val="24"/>
        </w:rPr>
      </w:pPr>
      <w:r>
        <w:rPr>
          <w:rFonts w:cs="Arial"/>
          <w:szCs w:val="24"/>
        </w:rPr>
        <w:t>forced labour</w:t>
      </w:r>
    </w:p>
    <w:p>
      <w:pPr>
        <w:numPr>
          <w:ilvl w:val="0"/>
          <w:numId w:val="13"/>
        </w:numPr>
        <w:spacing w:after="240" w:line="240" w:lineRule="auto"/>
        <w:ind w:left="643"/>
        <w:rPr>
          <w:rFonts w:cs="Arial"/>
          <w:szCs w:val="24"/>
        </w:rPr>
      </w:pPr>
      <w:r>
        <w:rPr>
          <w:rFonts w:cs="Arial"/>
          <w:szCs w:val="24"/>
        </w:rPr>
        <w:t>domestic servitude</w:t>
      </w:r>
    </w:p>
    <w:p>
      <w:pPr>
        <w:numPr>
          <w:ilvl w:val="0"/>
          <w:numId w:val="13"/>
        </w:numPr>
        <w:spacing w:after="240" w:line="240" w:lineRule="auto"/>
        <w:ind w:left="643"/>
        <w:rPr>
          <w:rFonts w:cs="Arial"/>
          <w:szCs w:val="24"/>
        </w:rPr>
      </w:pPr>
      <w:r>
        <w:rPr>
          <w:rFonts w:cs="Arial"/>
          <w:szCs w:val="24"/>
        </w:rPr>
        <w:t>organ harvesting</w:t>
      </w:r>
    </w:p>
    <w:p>
      <w:pPr>
        <w:numPr>
          <w:ilvl w:val="0"/>
          <w:numId w:val="13"/>
        </w:numPr>
        <w:spacing w:after="240" w:line="240" w:lineRule="auto"/>
        <w:ind w:left="643"/>
        <w:rPr>
          <w:rFonts w:cs="Arial"/>
          <w:szCs w:val="24"/>
        </w:rPr>
      </w:pPr>
      <w:r>
        <w:rPr>
          <w:rFonts w:cs="Arial"/>
          <w:szCs w:val="24"/>
        </w:rPr>
        <w:t>child related crimes such as child sexual exploitation, forced begging, illegal drug cultivation, organised theft, related benefit frauds etc</w:t>
      </w:r>
    </w:p>
    <w:p>
      <w:pPr>
        <w:numPr>
          <w:ilvl w:val="0"/>
          <w:numId w:val="13"/>
        </w:numPr>
        <w:spacing w:after="240" w:line="240" w:lineRule="auto"/>
        <w:ind w:left="643"/>
        <w:rPr>
          <w:rFonts w:cs="Arial"/>
          <w:szCs w:val="24"/>
        </w:rPr>
      </w:pPr>
      <w:r>
        <w:rPr>
          <w:rFonts w:cs="Arial"/>
          <w:szCs w:val="24"/>
        </w:rPr>
        <w:t>forced marriage and illegal adoption (if other constituent elements are present)</w:t>
      </w:r>
    </w:p>
    <w:p>
      <w:pPr>
        <w:pStyle w:val="14"/>
        <w:spacing w:after="240" w:line="240" w:lineRule="auto"/>
        <w:rPr>
          <w:rFonts w:ascii="Arial" w:hAnsi="Arial" w:cs="Arial"/>
          <w:b w:val="0"/>
          <w:color w:val="000000"/>
          <w:szCs w:val="24"/>
          <w:lang w:val="en"/>
        </w:rPr>
      </w:pPr>
    </w:p>
    <w:p>
      <w:pPr>
        <w:pStyle w:val="3"/>
        <w:rPr>
          <w:lang w:val="en"/>
        </w:rPr>
      </w:pPr>
      <w:bookmarkStart w:id="16" w:name="_Toc49500860"/>
      <w:r>
        <w:rPr>
          <w:lang w:val="en"/>
        </w:rPr>
        <w:t>Children vulnerable to extremism</w:t>
      </w:r>
      <w:bookmarkEnd w:id="16"/>
      <w:r>
        <w:rPr>
          <w:lang w:val="en"/>
        </w:rPr>
        <w:t xml:space="preserve"> </w:t>
      </w:r>
    </w:p>
    <w:p>
      <w:pPr>
        <w:pStyle w:val="14"/>
        <w:spacing w:after="240" w:line="240" w:lineRule="auto"/>
        <w:rPr>
          <w:rFonts w:ascii="Arial" w:hAnsi="Arial" w:cs="Arial"/>
          <w:b w:val="0"/>
          <w:bCs/>
          <w:szCs w:val="24"/>
        </w:rPr>
      </w:pPr>
      <w:r>
        <w:rPr>
          <w:rFonts w:ascii="Arial" w:hAnsi="Arial" w:cs="Arial"/>
          <w:b w:val="0"/>
          <w:color w:val="000000"/>
          <w:szCs w:val="24"/>
          <w:lang w:val="en"/>
        </w:rPr>
        <w:t xml:space="preserve">Our early years setting is aware that a website providing support and advice to combat radicalisation has been launched in our region. </w:t>
      </w:r>
    </w:p>
    <w:p>
      <w:pPr>
        <w:shd w:val="clear" w:color="auto" w:fill="FFFFFF"/>
        <w:spacing w:after="240" w:line="240" w:lineRule="auto"/>
        <w:rPr>
          <w:rFonts w:cs="Arial"/>
          <w:vanish/>
          <w:color w:val="000000"/>
          <w:sz w:val="22"/>
          <w:szCs w:val="22"/>
          <w:lang w:val="en"/>
        </w:rPr>
      </w:pPr>
      <w:r>
        <w:rPr>
          <w:rFonts w:cs="Arial"/>
          <w:vanish/>
          <w:color w:val="000000"/>
          <w:sz w:val="22"/>
          <w:szCs w:val="22"/>
          <w:lang w:val="en"/>
        </w:rPr>
        <w:t>Page Content</w:t>
      </w:r>
    </w:p>
    <w:p>
      <w:pPr>
        <w:shd w:val="clear" w:color="auto" w:fill="FFFFFF"/>
        <w:spacing w:after="240" w:line="240" w:lineRule="auto"/>
        <w:ind w:left="-57" w:right="57"/>
        <w:rPr>
          <w:rFonts w:cs="Arial"/>
          <w:color w:val="000000"/>
          <w:szCs w:val="24"/>
          <w:lang w:val="en"/>
        </w:rPr>
      </w:pPr>
      <w:r>
        <w:fldChar w:fldCharType="begin"/>
      </w:r>
      <w:r>
        <w:instrText xml:space="preserve"> HYPERLINK "https://www.ltai.info/" \t "_blank" </w:instrText>
      </w:r>
      <w:r>
        <w:fldChar w:fldCharType="separate"/>
      </w:r>
      <w:r>
        <w:rPr>
          <w:rStyle w:val="26"/>
          <w:rFonts w:cs="Arial"/>
          <w:szCs w:val="24"/>
          <w:lang w:val="en"/>
        </w:rPr>
        <w:t>The Let’s Talk About It</w:t>
      </w:r>
      <w:r>
        <w:rPr>
          <w:rStyle w:val="26"/>
          <w:rFonts w:cs="Arial"/>
          <w:szCs w:val="24"/>
          <w:lang w:val="en"/>
        </w:rPr>
        <w:fldChar w:fldCharType="end"/>
      </w:r>
      <w:r>
        <w:rPr>
          <w:rFonts w:cs="Arial"/>
          <w:color w:val="000000"/>
          <w:szCs w:val="24"/>
          <w:lang w:val="en"/>
        </w:rPr>
        <w:t xml:space="preserve"> provides information enabling people to learn more about the Government's Prevent strategy, with an aim to safeguard those who may be vulnerable to radicalisation.</w:t>
      </w:r>
    </w:p>
    <w:p>
      <w:pPr>
        <w:shd w:val="clear" w:color="auto" w:fill="FFFFFF"/>
        <w:spacing w:after="240" w:line="240" w:lineRule="auto"/>
        <w:rPr>
          <w:rFonts w:cs="Arial"/>
          <w:szCs w:val="24"/>
        </w:rPr>
      </w:pPr>
      <w:r>
        <w:rPr>
          <w:rFonts w:cs="Arial"/>
          <w:szCs w:val="24"/>
        </w:rPr>
        <w:t xml:space="preserve">Factors may include: peer pressure, influence from other people or the internet, bullying, crime and anti-social behaviour, family tensions, race/hate crime, lack of self esteem or identity and personal or political grievances. </w:t>
      </w:r>
    </w:p>
    <w:p>
      <w:pPr>
        <w:shd w:val="clear" w:color="auto" w:fill="FFFFFF"/>
        <w:spacing w:after="240" w:line="240" w:lineRule="auto"/>
        <w:rPr>
          <w:rFonts w:cs="Arial"/>
          <w:szCs w:val="24"/>
        </w:rPr>
      </w:pPr>
      <w:r>
        <w:rPr>
          <w:rFonts w:cs="Arial"/>
          <w:szCs w:val="24"/>
        </w:rPr>
        <w:t xml:space="preserve">If a child is thought to be at risk of radicalisation, advice will be sought from the Early Help Assessment (EHA) Team, and if advised, information will be shared with the appropriate agencies. </w:t>
      </w:r>
    </w:p>
    <w:p>
      <w:pPr>
        <w:shd w:val="clear" w:color="auto" w:fill="FFFFFF"/>
        <w:spacing w:after="240" w:line="240" w:lineRule="auto"/>
        <w:rPr>
          <w:rFonts w:cs="Arial"/>
          <w:sz w:val="22"/>
          <w:szCs w:val="22"/>
        </w:rPr>
      </w:pPr>
      <w:r>
        <w:rPr>
          <w:rFonts w:cs="Arial"/>
          <w:szCs w:val="24"/>
        </w:rPr>
        <w:t>Early Help co-ordinators will support referrals to the appropriate panels in line with the assessed risk  Referrals will not be made prior to discussions with the Early Help Assessment team</w:t>
      </w:r>
      <w:r>
        <w:rPr>
          <w:rFonts w:cs="Arial"/>
          <w:sz w:val="22"/>
          <w:szCs w:val="22"/>
        </w:rPr>
        <w:t xml:space="preserve">. </w:t>
      </w:r>
    </w:p>
    <w:p>
      <w:pPr>
        <w:shd w:val="clear" w:color="auto" w:fill="FFFFFF"/>
        <w:spacing w:after="240" w:line="240" w:lineRule="auto"/>
        <w:rPr>
          <w:rFonts w:cs="Arial" w:eastAsiaTheme="minorHAnsi"/>
          <w:szCs w:val="24"/>
          <w:lang w:eastAsia="en-US"/>
        </w:rPr>
      </w:pPr>
      <w:r>
        <w:rPr>
          <w:rFonts w:cs="Arial" w:eastAsiaTheme="minorHAnsi"/>
          <w:szCs w:val="24"/>
          <w:lang w:eastAsia="en-US"/>
        </w:rPr>
        <w:t>The Counter Terrorism and Security Act 2015 places a duty on early years providers “to have due regard to the need to prevent people from being drawn into terrorism” – The Prevent Duty</w:t>
      </w:r>
    </w:p>
    <w:p>
      <w:pPr>
        <w:pStyle w:val="53"/>
        <w:numPr>
          <w:ilvl w:val="0"/>
          <w:numId w:val="14"/>
        </w:numPr>
        <w:spacing w:after="240"/>
        <w:ind w:left="283"/>
        <w:rPr>
          <w:rFonts w:ascii="Arial" w:hAnsi="Arial" w:eastAsia="Times New Roman" w:cs="Arial"/>
          <w:sz w:val="24"/>
          <w:szCs w:val="24"/>
        </w:rPr>
      </w:pPr>
      <w:r>
        <w:rPr>
          <w:rFonts w:ascii="Arial" w:hAnsi="Arial" w:cs="Arial"/>
          <w:sz w:val="24"/>
          <w:szCs w:val="24"/>
        </w:rPr>
        <w:t xml:space="preserve">in accordance with the Prevent Duty </w:t>
      </w:r>
      <w:r>
        <w:rPr>
          <w:rFonts w:ascii="Arial" w:hAnsi="Arial" w:cs="Arial"/>
          <w:b/>
          <w:sz w:val="24"/>
          <w:szCs w:val="24"/>
        </w:rPr>
        <w:t>Taryn Gettleson</w:t>
      </w:r>
      <w:r>
        <w:rPr>
          <w:rFonts w:ascii="Arial" w:hAnsi="Arial" w:cs="Arial"/>
          <w:sz w:val="24"/>
          <w:szCs w:val="24"/>
        </w:rPr>
        <w:t xml:space="preserve"> is the Prevent Single Point of Contact (SPOC) who will be the lead within the organisation for safeguarding in relation to protecting individuals from radicalisation and involvement in terrorism.  </w:t>
      </w:r>
    </w:p>
    <w:p>
      <w:pPr>
        <w:pStyle w:val="53"/>
        <w:numPr>
          <w:ilvl w:val="0"/>
          <w:numId w:val="14"/>
        </w:numPr>
        <w:spacing w:after="240"/>
        <w:ind w:left="283"/>
        <w:rPr>
          <w:rFonts w:ascii="Arial" w:hAnsi="Arial" w:eastAsia="Times New Roman" w:cs="Arial"/>
          <w:sz w:val="24"/>
          <w:szCs w:val="24"/>
        </w:rPr>
      </w:pPr>
      <w:r>
        <w:rPr>
          <w:rFonts w:ascii="Arial" w:hAnsi="Arial" w:eastAsia="Times New Roman" w:cs="Arial"/>
          <w:sz w:val="24"/>
          <w:szCs w:val="24"/>
        </w:rPr>
        <w:t>if a child or Young Person is thought to be at risk of radicalisation, advice will be sought from the Early Help Hub, and if advised, information will be shared with the Channel Panel using the Early Help Assessment form</w:t>
      </w:r>
    </w:p>
    <w:p>
      <w:pPr>
        <w:pStyle w:val="53"/>
        <w:numPr>
          <w:ilvl w:val="0"/>
          <w:numId w:val="14"/>
        </w:numPr>
        <w:spacing w:after="240"/>
        <w:ind w:left="283"/>
        <w:rPr>
          <w:rFonts w:ascii="Arial" w:hAnsi="Arial" w:cs="Arial"/>
          <w:sz w:val="24"/>
          <w:szCs w:val="24"/>
        </w:rPr>
      </w:pPr>
      <w:r>
        <w:rPr>
          <w:rFonts w:ascii="Arial" w:hAnsi="Arial" w:cs="Arial"/>
          <w:sz w:val="24"/>
          <w:szCs w:val="24"/>
        </w:rPr>
        <w:t>in all cases, in accordance with advice provided from the Early Help Hub the early years setting will ensure appropriate interventions are secured which are in line with local procedures in order to safeguard children assessed as being vulnerable to radicalisation</w:t>
      </w:r>
    </w:p>
    <w:p>
      <w:pPr>
        <w:pStyle w:val="53"/>
        <w:numPr>
          <w:ilvl w:val="0"/>
          <w:numId w:val="14"/>
        </w:numPr>
        <w:spacing w:after="240"/>
        <w:ind w:left="283"/>
        <w:rPr>
          <w:rFonts w:ascii="Arial" w:hAnsi="Arial" w:cs="Arial"/>
          <w:bCs/>
          <w:sz w:val="24"/>
          <w:szCs w:val="24"/>
        </w:rPr>
      </w:pPr>
      <w:r>
        <w:rPr>
          <w:rFonts w:ascii="Arial" w:hAnsi="Arial" w:cs="Arial"/>
          <w:bCs/>
          <w:sz w:val="24"/>
          <w:szCs w:val="24"/>
        </w:rPr>
        <w:t>if the early years setting are concerned that a child may be at risk of significant harm in relation to radicalisation or involvement in violent extremism a child, protection referral will be made to the Multi- Agency Safeguarding Hub</w:t>
      </w:r>
    </w:p>
    <w:p>
      <w:pPr>
        <w:pStyle w:val="53"/>
        <w:numPr>
          <w:ilvl w:val="0"/>
          <w:numId w:val="14"/>
        </w:numPr>
        <w:spacing w:after="240"/>
        <w:ind w:left="283"/>
        <w:rPr>
          <w:rFonts w:ascii="Arial" w:hAnsi="Arial" w:cs="Arial"/>
          <w:bCs/>
          <w:sz w:val="24"/>
          <w:szCs w:val="24"/>
        </w:rPr>
      </w:pPr>
      <w:r>
        <w:rPr>
          <w:rFonts w:ascii="Arial" w:hAnsi="Arial" w:cs="Arial"/>
          <w:sz w:val="24"/>
          <w:szCs w:val="24"/>
        </w:rPr>
        <w:t xml:space="preserve">the statutory guidance on the </w:t>
      </w:r>
      <w:r>
        <w:fldChar w:fldCharType="begin"/>
      </w:r>
      <w:r>
        <w:instrText xml:space="preserve"> HYPERLINK "https://www.gov.uk/government/publications/protecting-children-from-radicalisation-the-prevent-duty" </w:instrText>
      </w:r>
      <w:r>
        <w:fldChar w:fldCharType="separate"/>
      </w:r>
      <w:r>
        <w:rPr>
          <w:rStyle w:val="26"/>
          <w:rFonts w:ascii="Arial" w:hAnsi="Arial" w:cs="Arial"/>
          <w:sz w:val="24"/>
          <w:szCs w:val="24"/>
        </w:rPr>
        <w:t>Prevent duty</w:t>
      </w:r>
      <w:r>
        <w:rPr>
          <w:rStyle w:val="26"/>
          <w:rFonts w:ascii="Arial" w:hAnsi="Arial" w:cs="Arial"/>
          <w:sz w:val="24"/>
          <w:szCs w:val="24"/>
        </w:rPr>
        <w:fldChar w:fldCharType="end"/>
      </w:r>
      <w:r>
        <w:rPr>
          <w:rFonts w:ascii="Arial" w:hAnsi="Arial" w:cs="Arial"/>
          <w:sz w:val="24"/>
          <w:szCs w:val="24"/>
        </w:rPr>
        <w:t xml:space="preserve"> summarises the requirements on schools and childcare providers in terms of four general themes: risk assessment, working in partnership, staff training and IT policies.</w:t>
      </w:r>
    </w:p>
    <w:p>
      <w:pPr>
        <w:pStyle w:val="53"/>
        <w:numPr>
          <w:ilvl w:val="0"/>
          <w:numId w:val="14"/>
        </w:numPr>
        <w:spacing w:after="240"/>
        <w:ind w:left="283"/>
        <w:rPr>
          <w:rFonts w:ascii="Arial" w:hAnsi="Arial" w:cs="Arial"/>
          <w:bCs/>
          <w:sz w:val="24"/>
          <w:szCs w:val="24"/>
        </w:rPr>
      </w:pPr>
      <w:r>
        <w:rPr>
          <w:rFonts w:ascii="Arial" w:hAnsi="Arial" w:cs="Arial"/>
          <w:sz w:val="24"/>
          <w:szCs w:val="24"/>
        </w:rPr>
        <w:t xml:space="preserve">a prevent risk assessment is in place to demonstrate how the setting is fulfilling the prevent duty. Please see Appendix 13 for further information.  </w:t>
      </w:r>
    </w:p>
    <w:p>
      <w:pPr>
        <w:pStyle w:val="53"/>
        <w:numPr>
          <w:ilvl w:val="0"/>
          <w:numId w:val="14"/>
        </w:numPr>
        <w:spacing w:after="240"/>
        <w:ind w:left="283"/>
        <w:rPr>
          <w:rFonts w:ascii="Arial" w:hAnsi="Arial" w:cs="Arial"/>
          <w:bCs/>
          <w:sz w:val="24"/>
          <w:szCs w:val="24"/>
        </w:rPr>
      </w:pPr>
      <w:r>
        <w:rPr>
          <w:rFonts w:ascii="Arial" w:hAnsi="Arial" w:cs="Arial"/>
          <w:bCs/>
          <w:sz w:val="24"/>
          <w:szCs w:val="24"/>
        </w:rPr>
        <w:t>further definitions of radicalisation and extremism and indicators of vulnerability to radicalisation are in Appendix 4.</w:t>
      </w:r>
    </w:p>
    <w:p>
      <w:pPr>
        <w:shd w:val="clear" w:color="auto" w:fill="FFFFFF"/>
        <w:spacing w:after="240" w:line="240" w:lineRule="auto"/>
        <w:ind w:left="283"/>
        <w:rPr>
          <w:rFonts w:cs="Arial"/>
          <w:szCs w:val="24"/>
        </w:rPr>
      </w:pPr>
    </w:p>
    <w:p>
      <w:pPr>
        <w:pStyle w:val="62"/>
        <w:spacing w:after="240" w:line="240" w:lineRule="auto"/>
        <w:ind w:left="0"/>
        <w:rPr>
          <w:rFonts w:cs="Arial"/>
          <w:szCs w:val="24"/>
        </w:rPr>
      </w:pPr>
      <w:r>
        <w:rPr>
          <w:rFonts w:cs="Arial"/>
          <w:szCs w:val="24"/>
        </w:rPr>
        <w:t>Our early years setting will provide opportunities for children to develop skills, concepts, attitudes and knowledge that promote their safety and well-being together with preparing them for life in modern Britain and embedding the four Fundamental British Values</w:t>
      </w:r>
      <w:r>
        <w:rPr>
          <w:rFonts w:cs="Arial"/>
          <w:bCs/>
          <w:kern w:val="36"/>
          <w:szCs w:val="24"/>
        </w:rPr>
        <w:t xml:space="preserve"> of Democracy, Rule of Law, Equality of Opportunity, Freedom of Speech and the rights of all Women and Men to live free from persecution of any kind</w:t>
      </w:r>
      <w:r>
        <w:rPr>
          <w:rFonts w:cs="Arial"/>
          <w:szCs w:val="24"/>
        </w:rPr>
        <w:t xml:space="preserve"> which are </w:t>
      </w:r>
      <w:r>
        <w:rPr>
          <w:rFonts w:cs="Arial" w:eastAsiaTheme="minorHAnsi"/>
          <w:szCs w:val="24"/>
          <w:lang w:eastAsia="en-US"/>
        </w:rPr>
        <w:t xml:space="preserve">already implicitly embedded in the Early Years Foundation Stage </w:t>
      </w:r>
      <w:r>
        <w:rPr>
          <w:rFonts w:cs="Arial" w:eastAsiaTheme="minorHAnsi"/>
          <w:b/>
          <w:szCs w:val="24"/>
          <w:lang w:eastAsia="en-US"/>
        </w:rPr>
        <w:t>(EYFS 2017</w:t>
      </w:r>
      <w:r>
        <w:rPr>
          <w:rFonts w:cs="Arial" w:eastAsiaTheme="minorHAnsi"/>
          <w:szCs w:val="24"/>
          <w:lang w:eastAsia="en-US"/>
        </w:rPr>
        <w:t xml:space="preserve">), Learning and Development requirements </w:t>
      </w:r>
      <w:r>
        <w:fldChar w:fldCharType="begin"/>
      </w:r>
      <w:r>
        <w:instrText xml:space="preserve"> HYPERLINK "https://www.foundationyears.org.uk/wp-content/uploads/2012/03/Early_Years_Outcomes.pdf" </w:instrText>
      </w:r>
      <w:r>
        <w:fldChar w:fldCharType="separate"/>
      </w:r>
      <w:r>
        <w:rPr>
          <w:rStyle w:val="26"/>
          <w:rFonts w:cs="Arial" w:eastAsiaTheme="minorHAnsi"/>
          <w:szCs w:val="24"/>
          <w:lang w:eastAsia="en-US"/>
        </w:rPr>
        <w:t>Early Years Outcomes 2013</w:t>
      </w:r>
      <w:r>
        <w:rPr>
          <w:rStyle w:val="26"/>
          <w:rFonts w:cs="Arial" w:eastAsiaTheme="minorHAnsi"/>
          <w:szCs w:val="24"/>
          <w:lang w:eastAsia="en-US"/>
        </w:rPr>
        <w:fldChar w:fldCharType="end"/>
      </w:r>
      <w:r>
        <w:rPr>
          <w:rStyle w:val="26"/>
          <w:rFonts w:cs="Arial" w:eastAsiaTheme="minorHAnsi"/>
          <w:szCs w:val="24"/>
          <w:lang w:eastAsia="en-US"/>
        </w:rPr>
        <w:t xml:space="preserve"> </w:t>
      </w:r>
      <w:r>
        <w:rPr>
          <w:rFonts w:cs="Arial" w:eastAsiaTheme="minorHAnsi"/>
          <w:szCs w:val="24"/>
          <w:lang w:eastAsia="en-US"/>
        </w:rPr>
        <w:t>and these values are reinforced in our everyday routine.</w:t>
      </w:r>
    </w:p>
    <w:p>
      <w:pPr>
        <w:shd w:val="clear" w:color="auto" w:fill="FFFFFF"/>
        <w:spacing w:after="0" w:line="240" w:lineRule="auto"/>
        <w:rPr>
          <w:rFonts w:cs="Arial"/>
          <w:sz w:val="22"/>
          <w:szCs w:val="22"/>
          <w:lang w:val="en"/>
        </w:rPr>
      </w:pPr>
      <w:r>
        <w:rPr>
          <w:rFonts w:cs="Arial"/>
          <w:szCs w:val="24"/>
        </w:rPr>
        <w:t xml:space="preserve">In the rare event of a firearms or weapons attack staff are trained in the </w:t>
      </w:r>
      <w:r>
        <w:fldChar w:fldCharType="begin"/>
      </w:r>
      <w:r>
        <w:instrText xml:space="preserve"> HYPERLINK "https://www.gov.uk/government/publications/stay-safe-film" </w:instrText>
      </w:r>
      <w:r>
        <w:fldChar w:fldCharType="separate"/>
      </w:r>
      <w:r>
        <w:rPr>
          <w:rStyle w:val="26"/>
          <w:rFonts w:cs="Arial"/>
          <w:szCs w:val="24"/>
        </w:rPr>
        <w:t>RUN –HIDE – TELL</w:t>
      </w:r>
      <w:r>
        <w:rPr>
          <w:rStyle w:val="26"/>
          <w:rFonts w:cs="Arial"/>
          <w:szCs w:val="24"/>
        </w:rPr>
        <w:fldChar w:fldCharType="end"/>
      </w:r>
      <w:r>
        <w:rPr>
          <w:rFonts w:cs="Arial"/>
          <w:szCs w:val="24"/>
        </w:rPr>
        <w:t xml:space="preserve"> guidance The National Counter Terrorism Security Office (NaCTSO) are advising that providers have a </w:t>
      </w:r>
      <w:r>
        <w:fldChar w:fldCharType="begin"/>
      </w:r>
      <w:r>
        <w:instrText xml:space="preserve"> HYPERLINK "https://www.gov.uk/government/publications/developing-dynamic-lockdown-procedures" </w:instrText>
      </w:r>
      <w:r>
        <w:fldChar w:fldCharType="separate"/>
      </w:r>
      <w:r>
        <w:rPr>
          <w:rStyle w:val="26"/>
          <w:rFonts w:cs="Arial"/>
          <w:szCs w:val="24"/>
        </w:rPr>
        <w:t>lock down procedures</w:t>
      </w:r>
      <w:r>
        <w:rPr>
          <w:rStyle w:val="26"/>
          <w:rFonts w:cs="Arial"/>
          <w:szCs w:val="24"/>
        </w:rPr>
        <w:fldChar w:fldCharType="end"/>
      </w:r>
      <w:r>
        <w:rPr>
          <w:rStyle w:val="26"/>
          <w:rFonts w:cs="Arial"/>
          <w:szCs w:val="24"/>
        </w:rPr>
        <w:t xml:space="preserve"> </w:t>
      </w:r>
      <w:r>
        <w:rPr>
          <w:rFonts w:cs="Arial"/>
          <w:szCs w:val="24"/>
        </w:rPr>
        <w:t xml:space="preserve">Stay Safe: - </w:t>
      </w:r>
      <w:r>
        <w:rPr>
          <w:rFonts w:cs="Arial"/>
          <w:szCs w:val="24"/>
          <w:lang w:val="en"/>
        </w:rPr>
        <w:t>steps to take to keep safe in the rare event of a firearms or weapons attack</w:t>
      </w:r>
      <w:r>
        <w:rPr>
          <w:rFonts w:cs="Arial"/>
          <w:sz w:val="22"/>
          <w:szCs w:val="22"/>
          <w:lang w:val="en"/>
        </w:rPr>
        <w:t>:</w:t>
      </w:r>
    </w:p>
    <w:p>
      <w:pPr>
        <w:shd w:val="clear" w:color="auto" w:fill="FFFFFF"/>
        <w:spacing w:after="240" w:line="240" w:lineRule="auto"/>
        <w:rPr>
          <w:rFonts w:cs="Arial"/>
          <w:szCs w:val="24"/>
        </w:rPr>
      </w:pPr>
      <w:r>
        <w:rPr>
          <w:rFonts w:cs="Arial"/>
          <w:szCs w:val="24"/>
        </w:rPr>
        <w:t>Procedures will be implemented in the event of an unauthorised person/persons entering the setting:</w:t>
      </w:r>
    </w:p>
    <w:p>
      <w:pPr>
        <w:numPr>
          <w:ilvl w:val="0"/>
          <w:numId w:val="15"/>
        </w:numPr>
        <w:shd w:val="clear" w:color="auto" w:fill="FFFFFF"/>
        <w:spacing w:after="240" w:line="240" w:lineRule="auto"/>
        <w:ind w:left="795" w:hanging="511"/>
        <w:rPr>
          <w:rFonts w:cs="Arial"/>
          <w:szCs w:val="24"/>
        </w:rPr>
      </w:pPr>
      <w:r>
        <w:rPr>
          <w:rFonts w:cs="Arial"/>
          <w:szCs w:val="24"/>
        </w:rPr>
        <w:t>staff will be alerted by a recognised signal</w:t>
      </w:r>
    </w:p>
    <w:p>
      <w:pPr>
        <w:numPr>
          <w:ilvl w:val="0"/>
          <w:numId w:val="15"/>
        </w:numPr>
        <w:shd w:val="clear" w:color="auto" w:fill="FFFFFF"/>
        <w:spacing w:after="240" w:line="240" w:lineRule="auto"/>
        <w:ind w:left="795" w:hanging="511"/>
        <w:rPr>
          <w:rFonts w:cs="Arial"/>
          <w:szCs w:val="24"/>
        </w:rPr>
      </w:pPr>
      <w:r>
        <w:rPr>
          <w:rFonts w:cs="Arial"/>
          <w:szCs w:val="24"/>
        </w:rPr>
        <w:t>children will be taken from outside into the setting as quickly as possible</w:t>
      </w:r>
    </w:p>
    <w:p>
      <w:pPr>
        <w:numPr>
          <w:ilvl w:val="0"/>
          <w:numId w:val="15"/>
        </w:numPr>
        <w:shd w:val="clear" w:color="auto" w:fill="FFFFFF"/>
        <w:spacing w:after="240" w:line="240" w:lineRule="auto"/>
        <w:ind w:left="795" w:hanging="511"/>
        <w:rPr>
          <w:rFonts w:cs="Arial"/>
          <w:szCs w:val="24"/>
        </w:rPr>
      </w:pPr>
      <w:r>
        <w:rPr>
          <w:rFonts w:cs="Arial"/>
          <w:szCs w:val="24"/>
        </w:rPr>
        <w:t>all external doors and windows will be locked as necessary</w:t>
      </w:r>
    </w:p>
    <w:p>
      <w:pPr>
        <w:numPr>
          <w:ilvl w:val="0"/>
          <w:numId w:val="15"/>
        </w:numPr>
        <w:shd w:val="clear" w:color="auto" w:fill="FFFFFF"/>
        <w:spacing w:after="240" w:line="240" w:lineRule="auto"/>
        <w:ind w:left="795" w:hanging="511"/>
        <w:rPr>
          <w:rFonts w:cs="Arial"/>
          <w:sz w:val="22"/>
          <w:szCs w:val="22"/>
        </w:rPr>
      </w:pPr>
      <w:r>
        <w:rPr>
          <w:rFonts w:cs="Arial"/>
          <w:szCs w:val="24"/>
        </w:rPr>
        <w:t>parents/carers will be notified</w:t>
      </w:r>
      <w:r>
        <w:rPr>
          <w:rFonts w:cs="Arial"/>
          <w:sz w:val="22"/>
          <w:szCs w:val="22"/>
        </w:rPr>
        <w:t xml:space="preserve"> </w:t>
      </w:r>
    </w:p>
    <w:p>
      <w:pPr>
        <w:rPr>
          <w:rFonts w:eastAsiaTheme="minorHAnsi"/>
          <w:b/>
          <w:lang w:eastAsia="en-US"/>
        </w:rPr>
      </w:pPr>
      <w:r>
        <w:rPr>
          <w:rFonts w:eastAsiaTheme="minorHAnsi"/>
          <w:b/>
          <w:lang w:eastAsia="en-US"/>
        </w:rPr>
        <w:t>Children Missing in Education</w:t>
      </w:r>
    </w:p>
    <w:p>
      <w:pPr>
        <w:shd w:val="clear" w:color="auto" w:fill="FFFFFF"/>
        <w:spacing w:after="240" w:line="240" w:lineRule="auto"/>
        <w:rPr>
          <w:rFonts w:cs="Arial"/>
          <w:szCs w:val="24"/>
        </w:rPr>
      </w:pPr>
      <w:r>
        <w:rPr>
          <w:rFonts w:cs="Arial" w:eastAsiaTheme="minorHAnsi"/>
          <w:szCs w:val="24"/>
          <w:lang w:eastAsia="en-US"/>
        </w:rPr>
        <w:t>The early years setting apply appropriate safeguarding responses for children who go missing from education which includes holding more than one emergency contact number for the child/family</w:t>
      </w:r>
      <w:r>
        <w:rPr>
          <w:rFonts w:cs="Arial"/>
          <w:szCs w:val="24"/>
        </w:rPr>
        <w:t xml:space="preserve"> re as part of an emergency plan. </w:t>
      </w:r>
    </w:p>
    <w:p>
      <w:pPr>
        <w:rPr>
          <w:b/>
        </w:rPr>
      </w:pPr>
      <w:r>
        <w:rPr>
          <w:b/>
        </w:rPr>
        <w:t>Domestic Abuse</w:t>
      </w:r>
    </w:p>
    <w:p>
      <w:pPr>
        <w:autoSpaceDE w:val="0"/>
        <w:autoSpaceDN w:val="0"/>
        <w:adjustRightInd w:val="0"/>
        <w:spacing w:after="240" w:line="240" w:lineRule="auto"/>
        <w:rPr>
          <w:rFonts w:cs="Arial" w:eastAsiaTheme="minorHAnsi"/>
          <w:szCs w:val="24"/>
          <w:lang w:eastAsia="en-US"/>
        </w:rPr>
      </w:pPr>
      <w:r>
        <w:rPr>
          <w:rFonts w:cs="Arial" w:eastAsiaTheme="minorHAnsi"/>
          <w:szCs w:val="24"/>
          <w:lang w:eastAsia="en-US"/>
        </w:rPr>
        <w:t xml:space="preserve">The cross-government definition of domestic violence and abuse is: </w:t>
      </w:r>
    </w:p>
    <w:p>
      <w:pPr>
        <w:autoSpaceDE w:val="0"/>
        <w:autoSpaceDN w:val="0"/>
        <w:adjustRightInd w:val="0"/>
        <w:spacing w:after="240" w:line="240" w:lineRule="auto"/>
        <w:rPr>
          <w:rFonts w:cs="Arial" w:eastAsiaTheme="minorHAnsi"/>
          <w:szCs w:val="24"/>
          <w:lang w:eastAsia="en-US"/>
        </w:rPr>
      </w:pPr>
      <w:r>
        <w:rPr>
          <w:rFonts w:cs="Arial" w:eastAsiaTheme="minorHAnsi"/>
          <w:szCs w:val="24"/>
          <w:lang w:eastAsia="en-US"/>
        </w:rPr>
        <w:t xml:space="preserve">Any incident or pattern of incidents of controlling, coercive, threatening behaviour, violence or abuse between those aged 16 or over who are, or have been, intimate partners or family members regardless of gender or sexuality. The forms can encompass, but is not limited to: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psychological</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physical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sexual</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financial and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emotional. </w:t>
      </w:r>
    </w:p>
    <w:p>
      <w:pPr>
        <w:autoSpaceDE w:val="0"/>
        <w:autoSpaceDN w:val="0"/>
        <w:adjustRightInd w:val="0"/>
        <w:spacing w:after="240" w:line="240" w:lineRule="auto"/>
        <w:ind w:left="283"/>
        <w:rPr>
          <w:rFonts w:cs="Arial" w:eastAsiaTheme="minorHAnsi"/>
          <w:szCs w:val="24"/>
          <w:lang w:eastAsia="en-US"/>
        </w:rPr>
      </w:pPr>
    </w:p>
    <w:p>
      <w:pPr>
        <w:autoSpaceDE w:val="0"/>
        <w:autoSpaceDN w:val="0"/>
        <w:adjustRightInd w:val="0"/>
        <w:spacing w:after="0" w:line="240" w:lineRule="auto"/>
        <w:rPr>
          <w:rFonts w:cs="Arial" w:eastAsiaTheme="minorHAnsi"/>
          <w:szCs w:val="24"/>
          <w:lang w:eastAsia="en-US"/>
        </w:rPr>
      </w:pPr>
      <w:r>
        <w:rPr>
          <w:rFonts w:cs="Arial" w:eastAsiaTheme="minorHAnsi"/>
          <w:szCs w:val="24"/>
          <w:lang w:eastAsia="en-US"/>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pPr>
        <w:autoSpaceDE w:val="0"/>
        <w:autoSpaceDN w:val="0"/>
        <w:adjustRightInd w:val="0"/>
        <w:spacing w:after="240" w:line="240" w:lineRule="auto"/>
        <w:rPr>
          <w:rFonts w:cs="Arial" w:eastAsiaTheme="minorHAnsi"/>
          <w:szCs w:val="24"/>
          <w:lang w:eastAsia="en-US"/>
        </w:rPr>
      </w:pPr>
      <w:r>
        <w:rPr>
          <w:rFonts w:cs="Arial" w:eastAsiaTheme="minorHAnsi"/>
          <w:szCs w:val="24"/>
          <w:lang w:eastAsia="en-US"/>
        </w:rPr>
        <w:t>Advice on identifying children who are affected by domestic abuse and how they can be helped is available at:</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w:t>
      </w:r>
      <w:r>
        <w:fldChar w:fldCharType="begin"/>
      </w:r>
      <w:r>
        <w:instrText xml:space="preserve"> HYPERLINK "https://www.nspcc.org.uk/what-is-child-abuse/types-of-abuse/domestic-abuse/" </w:instrText>
      </w:r>
      <w:r>
        <w:fldChar w:fldCharType="separate"/>
      </w:r>
      <w:r>
        <w:rPr>
          <w:rStyle w:val="26"/>
          <w:rFonts w:cs="Arial" w:eastAsiaTheme="minorHAnsi"/>
          <w:szCs w:val="24"/>
          <w:lang w:eastAsia="en-US"/>
        </w:rPr>
        <w:t>NSPCC- UK</w:t>
      </w:r>
      <w:r>
        <w:rPr>
          <w:rStyle w:val="26"/>
          <w:rFonts w:cs="Arial" w:eastAsiaTheme="minorHAnsi"/>
          <w:szCs w:val="24"/>
          <w:lang w:eastAsia="en-US"/>
        </w:rPr>
        <w:fldChar w:fldCharType="end"/>
      </w:r>
      <w:r>
        <w:rPr>
          <w:rFonts w:cs="Arial" w:eastAsiaTheme="minorHAnsi"/>
          <w:szCs w:val="24"/>
          <w:lang w:eastAsia="en-US"/>
        </w:rPr>
        <w:t xml:space="preserve"> domestic-abuse Signs Symptoms Effects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w:t>
      </w:r>
      <w:r>
        <w:fldChar w:fldCharType="begin"/>
      </w:r>
      <w:r>
        <w:instrText xml:space="preserve"> HYPERLINK "https://www.refuge.org.uk/" </w:instrText>
      </w:r>
      <w:r>
        <w:fldChar w:fldCharType="separate"/>
      </w:r>
      <w:r>
        <w:rPr>
          <w:rStyle w:val="26"/>
          <w:rFonts w:cs="Arial" w:eastAsiaTheme="minorHAnsi"/>
          <w:szCs w:val="24"/>
          <w:lang w:eastAsia="en-US"/>
        </w:rPr>
        <w:t>Refuge</w:t>
      </w:r>
      <w:r>
        <w:rPr>
          <w:rStyle w:val="26"/>
          <w:rFonts w:cs="Arial" w:eastAsiaTheme="minorHAnsi"/>
          <w:szCs w:val="24"/>
          <w:lang w:eastAsia="en-US"/>
        </w:rPr>
        <w:fldChar w:fldCharType="end"/>
      </w:r>
      <w:r>
        <w:rPr>
          <w:rFonts w:cs="Arial" w:eastAsiaTheme="minorHAnsi"/>
          <w:szCs w:val="24"/>
          <w:lang w:eastAsia="en-US"/>
        </w:rPr>
        <w:t xml:space="preserve"> what is domestic violence/effects of domestic violence on children </w:t>
      </w:r>
    </w:p>
    <w:p>
      <w:pPr>
        <w:autoSpaceDE w:val="0"/>
        <w:autoSpaceDN w:val="0"/>
        <w:adjustRightInd w:val="0"/>
        <w:spacing w:after="240" w:line="240" w:lineRule="auto"/>
        <w:ind w:left="283"/>
        <w:rPr>
          <w:rFonts w:cs="Arial" w:eastAsiaTheme="minorHAnsi"/>
          <w:szCs w:val="24"/>
          <w:lang w:eastAsia="en-US"/>
        </w:rPr>
      </w:pPr>
      <w:r>
        <w:rPr>
          <w:rFonts w:cs="Arial" w:eastAsiaTheme="minorHAnsi"/>
          <w:szCs w:val="24"/>
          <w:lang w:eastAsia="en-US"/>
        </w:rPr>
        <w:t xml:space="preserve">• </w:t>
      </w:r>
      <w:r>
        <w:fldChar w:fldCharType="begin"/>
      </w:r>
      <w:r>
        <w:instrText xml:space="preserve"> HYPERLINK "https://www.refuge.org.uk/" </w:instrText>
      </w:r>
      <w:r>
        <w:fldChar w:fldCharType="separate"/>
      </w:r>
      <w:r>
        <w:rPr>
          <w:rStyle w:val="26"/>
          <w:rFonts w:cs="Arial" w:eastAsiaTheme="minorHAnsi"/>
          <w:szCs w:val="24"/>
          <w:lang w:eastAsia="en-US"/>
        </w:rPr>
        <w:t>Safe lives</w:t>
      </w:r>
      <w:r>
        <w:rPr>
          <w:rStyle w:val="26"/>
          <w:rFonts w:cs="Arial" w:eastAsiaTheme="minorHAnsi"/>
          <w:szCs w:val="24"/>
          <w:lang w:eastAsia="en-US"/>
        </w:rPr>
        <w:fldChar w:fldCharType="end"/>
      </w:r>
      <w:r>
        <w:rPr>
          <w:rFonts w:cs="Arial" w:eastAsiaTheme="minorHAnsi"/>
          <w:szCs w:val="24"/>
          <w:lang w:eastAsia="en-US"/>
        </w:rPr>
        <w:t xml:space="preserve">: young people and domestic abuse. </w:t>
      </w:r>
    </w:p>
    <w:p>
      <w:pPr>
        <w:shd w:val="clear" w:color="auto" w:fill="FFFFFF"/>
        <w:spacing w:after="0" w:line="240" w:lineRule="auto"/>
        <w:rPr>
          <w:rFonts w:cs="Arial"/>
          <w:szCs w:val="24"/>
          <w:lang w:val="en"/>
        </w:rPr>
      </w:pPr>
      <w:r>
        <w:rPr>
          <w:rFonts w:cs="Arial"/>
          <w:szCs w:val="24"/>
          <w:lang w:val="en"/>
        </w:rPr>
        <w:t xml:space="preserve">If domestic abuse is disclosed, the Risk Indicator checklist or DASH (Domestic Abuse, Stalking and Honour Based Violence) is the assessment tool used to determine whether cases meet the threshold for a </w:t>
      </w:r>
      <w:r>
        <w:fldChar w:fldCharType="begin"/>
      </w:r>
      <w:r>
        <w:instrText xml:space="preserve"> HYPERLINK "https://www.luton.gov.uk/Community_and_living/crime-and-community-safety/Domestic_violence/Information%20for%20practitioners/Pages/MARAC.aspx" </w:instrText>
      </w:r>
      <w:r>
        <w:fldChar w:fldCharType="separate"/>
      </w:r>
      <w:r>
        <w:rPr>
          <w:rStyle w:val="26"/>
          <w:rFonts w:cs="Arial"/>
          <w:szCs w:val="24"/>
          <w:lang w:val="en"/>
        </w:rPr>
        <w:t>MARAC</w:t>
      </w:r>
      <w:r>
        <w:rPr>
          <w:rStyle w:val="26"/>
          <w:rFonts w:cs="Arial"/>
          <w:szCs w:val="24"/>
          <w:lang w:val="en"/>
        </w:rPr>
        <w:fldChar w:fldCharType="end"/>
      </w:r>
      <w:r>
        <w:rPr>
          <w:rFonts w:cs="Arial"/>
          <w:szCs w:val="24"/>
          <w:lang w:val="en"/>
        </w:rPr>
        <w:t xml:space="preserve"> (Multi-Agency Risk Assessment Conference) intervention. It should be completed with the client and if it meets the referral criteria it should be referred to the Early Years MARAC Representative. Referrals into the MARAC are only made by professional agencies; there is no self-referral.</w:t>
      </w:r>
    </w:p>
    <w:p>
      <w:pPr>
        <w:shd w:val="clear" w:color="auto" w:fill="FFFFFF"/>
        <w:spacing w:after="0" w:line="240" w:lineRule="auto"/>
        <w:ind w:left="644"/>
        <w:rPr>
          <w:szCs w:val="24"/>
        </w:rPr>
      </w:pPr>
      <w:r>
        <w:fldChar w:fldCharType="begin"/>
      </w:r>
      <w:r>
        <w:instrText xml:space="preserve"> HYPERLINK </w:instrText>
      </w:r>
      <w:r>
        <w:fldChar w:fldCharType="separate"/>
      </w:r>
      <w:r>
        <w:fldChar w:fldCharType="end"/>
      </w:r>
      <w:r>
        <w:rPr>
          <w:szCs w:val="24"/>
        </w:rPr>
        <w:t xml:space="preserve"> </w:t>
      </w:r>
    </w:p>
    <w:p>
      <w:pPr>
        <w:pStyle w:val="62"/>
        <w:autoSpaceDE w:val="0"/>
        <w:autoSpaceDN w:val="0"/>
        <w:adjustRightInd w:val="0"/>
        <w:spacing w:after="100" w:afterAutospacing="1" w:line="240" w:lineRule="auto"/>
        <w:ind w:left="0"/>
        <w:rPr>
          <w:rFonts w:eastAsiaTheme="minorHAnsi"/>
          <w:sz w:val="32"/>
          <w:szCs w:val="32"/>
          <w:lang w:eastAsia="en-US"/>
        </w:rPr>
      </w:pPr>
      <w:r>
        <w:rPr>
          <w:rFonts w:cs="Arial" w:eastAsiaTheme="minorHAnsi"/>
          <w:szCs w:val="24"/>
          <w:lang w:eastAsia="en-US"/>
        </w:rPr>
        <w:t xml:space="preserve">The DASH Risk Indicator Checklist can also be used to identify individuals who may benefit from the services of an Independent Domestic Violence Advisor (IDVA). </w:t>
      </w:r>
      <w:r>
        <w:rPr>
          <w:rFonts w:eastAsiaTheme="minorHAnsi"/>
          <w:lang w:eastAsia="en-US"/>
        </w:rPr>
        <w:t xml:space="preserve">Clients who disclose abuse but who do not meet the criteria for IDVA support should be referred to other appropriate support such as Luton Women’s Aid and the </w:t>
      </w:r>
      <w:r>
        <w:fldChar w:fldCharType="begin"/>
      </w:r>
      <w:r>
        <w:instrText xml:space="preserve"> HYPERLINK "http://www.signpostforbedfordshire.com/" </w:instrText>
      </w:r>
      <w:r>
        <w:fldChar w:fldCharType="separate"/>
      </w:r>
      <w:r>
        <w:rPr>
          <w:rStyle w:val="26"/>
          <w:rFonts w:cs="Arial" w:eastAsiaTheme="minorHAnsi"/>
          <w:szCs w:val="24"/>
          <w:lang w:eastAsia="en-US"/>
        </w:rPr>
        <w:t>Signpost</w:t>
      </w:r>
      <w:r>
        <w:rPr>
          <w:rStyle w:val="26"/>
          <w:rFonts w:cs="Arial" w:eastAsiaTheme="minorHAnsi"/>
          <w:szCs w:val="24"/>
          <w:lang w:eastAsia="en-US"/>
        </w:rPr>
        <w:fldChar w:fldCharType="end"/>
      </w:r>
      <w:r>
        <w:rPr>
          <w:rFonts w:eastAsiaTheme="minorHAnsi"/>
          <w:lang w:eastAsia="en-US"/>
        </w:rPr>
        <w:t xml:space="preserve"> Hub who </w:t>
      </w:r>
      <w:r>
        <w:rPr>
          <w:lang w:val="en"/>
        </w:rPr>
        <w:t>will accept referrals for any client over the age of 16, regardless of gender or background and will provide support whether or not the incidents have been reported to the Police.</w:t>
      </w:r>
      <w:r>
        <w:rPr>
          <w:sz w:val="32"/>
          <w:szCs w:val="32"/>
        </w:rPr>
        <w:t xml:space="preserve"> </w:t>
      </w:r>
    </w:p>
    <w:p>
      <w:pPr>
        <w:pStyle w:val="62"/>
        <w:autoSpaceDE w:val="0"/>
        <w:autoSpaceDN w:val="0"/>
        <w:adjustRightInd w:val="0"/>
        <w:spacing w:after="240" w:line="240" w:lineRule="auto"/>
        <w:ind w:left="0"/>
        <w:rPr>
          <w:rFonts w:cs="Arial" w:eastAsiaTheme="minorHAnsi"/>
          <w:sz w:val="32"/>
          <w:szCs w:val="32"/>
          <w:lang w:eastAsia="en-US"/>
        </w:rPr>
      </w:pPr>
      <w:r>
        <w:fldChar w:fldCharType="begin"/>
      </w:r>
      <w:r>
        <w:instrText xml:space="preserve"> HYPERLINK "https://www.operationencompass.org/" </w:instrText>
      </w:r>
      <w:r>
        <w:fldChar w:fldCharType="separate"/>
      </w:r>
      <w:r>
        <w:rPr>
          <w:rStyle w:val="26"/>
          <w:szCs w:val="24"/>
        </w:rPr>
        <w:t>RELAY</w:t>
      </w:r>
      <w:r>
        <w:rPr>
          <w:rStyle w:val="26"/>
          <w:szCs w:val="24"/>
        </w:rPr>
        <w:fldChar w:fldCharType="end"/>
      </w:r>
      <w:r>
        <w:rPr>
          <w:szCs w:val="24"/>
        </w:rPr>
        <w:t xml:space="preserve"> helps police and schools work together to provide emotional and practical help to children. This is not yet happening in early years settings however could be developed in the future or be accessed by siblings attending schools. </w:t>
      </w:r>
    </w:p>
    <w:p>
      <w:pPr>
        <w:pStyle w:val="3"/>
        <w:rPr>
          <w:rFonts w:eastAsiaTheme="minorHAnsi"/>
          <w:lang w:eastAsia="en-US"/>
        </w:rPr>
      </w:pPr>
      <w:bookmarkStart w:id="17" w:name="_Toc49500861"/>
      <w:r>
        <w:rPr>
          <w:rFonts w:eastAsiaTheme="minorHAnsi"/>
          <w:lang w:eastAsia="en-US"/>
        </w:rPr>
        <w:t>Online Safety</w:t>
      </w:r>
      <w:bookmarkEnd w:id="17"/>
    </w:p>
    <w:p>
      <w:pPr>
        <w:rPr>
          <w:rFonts w:eastAsiaTheme="minorHAnsi"/>
          <w:lang w:eastAsia="en-US"/>
        </w:rPr>
      </w:pPr>
      <w:r>
        <w:t xml:space="preserve">There are appropriate online filtering and monitoring systems within our early years setting which safeguards children from accessing inappropriate or harmful online material. The Early Years Foundation Stage Framework is delivered in such a way to include educating children about how to stay safe, online safety and broader safeguarding messages are taught through play within the </w:t>
      </w:r>
      <w:r>
        <w:fldChar w:fldCharType="begin"/>
      </w:r>
      <w:r>
        <w:instrText xml:space="preserve"> HYPERLINK "https://www.foundationyears.org.uk/files/2012/03/Early_Years_Outcomes.pdf" </w:instrText>
      </w:r>
      <w:r>
        <w:fldChar w:fldCharType="separate"/>
      </w:r>
      <w:r>
        <w:t>Early Years Outcomes 2013</w:t>
      </w:r>
      <w:r>
        <w:fldChar w:fldCharType="end"/>
      </w:r>
      <w:r>
        <w:rPr>
          <w:sz w:val="22"/>
          <w:szCs w:val="22"/>
        </w:rPr>
        <w:t>.</w:t>
      </w:r>
    </w:p>
    <w:p>
      <w:pPr>
        <w:pStyle w:val="3"/>
        <w:spacing w:after="240"/>
      </w:pPr>
      <w:bookmarkStart w:id="18" w:name="_Toc49500862"/>
      <w:r>
        <w:t>Safeguarding in specific circumstances list</w:t>
      </w:r>
      <w:bookmarkEnd w:id="18"/>
      <w:r>
        <w:t xml:space="preserve"> </w:t>
      </w:r>
    </w:p>
    <w:p>
      <w:pPr>
        <w:pStyle w:val="14"/>
        <w:spacing w:after="240" w:line="240" w:lineRule="auto"/>
        <w:rPr>
          <w:rFonts w:ascii="Arial" w:hAnsi="Arial" w:cs="Arial"/>
          <w:b w:val="0"/>
          <w:szCs w:val="24"/>
        </w:rPr>
      </w:pPr>
      <w:r>
        <w:rPr>
          <w:rFonts w:ascii="Arial" w:hAnsi="Arial" w:cs="Arial"/>
          <w:b w:val="0"/>
          <w:szCs w:val="24"/>
        </w:rPr>
        <w:t>Further guidance in relation to safeguarding children in specific circumstances can be located in the Luton Safeguarding Children Board / Luton Borough Council procedures as listed below, Further information is also referenced in appendices to this policy.</w:t>
      </w:r>
    </w:p>
    <w:p>
      <w:pPr>
        <w:pStyle w:val="14"/>
        <w:numPr>
          <w:ilvl w:val="0"/>
          <w:numId w:val="16"/>
        </w:numPr>
        <w:spacing w:after="240" w:line="240" w:lineRule="auto"/>
        <w:ind w:left="643"/>
        <w:rPr>
          <w:rFonts w:ascii="Arial" w:hAnsi="Arial" w:cs="Arial"/>
          <w:b w:val="0"/>
          <w:szCs w:val="24"/>
        </w:rPr>
      </w:pPr>
      <w:r>
        <w:rPr>
          <w:rFonts w:ascii="Arial" w:hAnsi="Arial" w:cs="Arial"/>
          <w:b w:val="0"/>
          <w:szCs w:val="24"/>
        </w:rPr>
        <w:t>abuse linked to spiritual belief</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child sexual exploitation</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safeguarding children vulnerable to gang activity</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supporting individuals vulnerable to violent extremism</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private fostering</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children missing from home or care</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children missing education</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 xml:space="preserve">children of parents who misuse substances </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children of parents with learning difficulties</w:t>
      </w:r>
    </w:p>
    <w:p>
      <w:pPr>
        <w:pStyle w:val="14"/>
        <w:numPr>
          <w:ilvl w:val="1"/>
          <w:numId w:val="17"/>
        </w:numPr>
        <w:spacing w:after="240" w:line="240" w:lineRule="auto"/>
        <w:ind w:left="643"/>
        <w:rPr>
          <w:rFonts w:ascii="Arial" w:hAnsi="Arial" w:cs="Arial"/>
          <w:b w:val="0"/>
          <w:szCs w:val="24"/>
        </w:rPr>
      </w:pPr>
      <w:r>
        <w:fldChar w:fldCharType="begin"/>
      </w:r>
      <w:r>
        <w:instrText xml:space="preserve"> HYPERLINK "http://www.proceduresonline.com/birmingham/scb/chapters/p_ch_par_mental_health.html" </w:instrText>
      </w:r>
      <w:r>
        <w:fldChar w:fldCharType="separate"/>
      </w:r>
      <w:r>
        <w:rPr>
          <w:rStyle w:val="26"/>
          <w:rFonts w:ascii="Arial" w:hAnsi="Arial" w:cs="Arial"/>
          <w:b w:val="0"/>
          <w:color w:val="auto"/>
          <w:szCs w:val="24"/>
          <w:u w:val="none"/>
        </w:rPr>
        <w:t>working</w:t>
      </w:r>
      <w:r>
        <w:rPr>
          <w:rStyle w:val="26"/>
          <w:rFonts w:ascii="Arial" w:hAnsi="Arial" w:cs="Arial"/>
          <w:b w:val="0"/>
          <w:color w:val="auto"/>
          <w:szCs w:val="24"/>
          <w:u w:val="none"/>
        </w:rPr>
        <w:fldChar w:fldCharType="end"/>
      </w:r>
      <w:r>
        <w:rPr>
          <w:rFonts w:ascii="Arial" w:hAnsi="Arial" w:cs="Arial"/>
          <w:b w:val="0"/>
          <w:szCs w:val="24"/>
        </w:rPr>
        <w:t xml:space="preserve"> with parents/carers with mental health problems</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 xml:space="preserve">working with parents/carers with disabilities </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disabled children</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domestic violence</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protocol for dealing with domestic violence when children are involved</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online – children exposed to abuse through the digital media</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fabricated or induced illness</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female genital mutilation</w:t>
      </w:r>
    </w:p>
    <w:p>
      <w:pPr>
        <w:pStyle w:val="14"/>
        <w:numPr>
          <w:ilvl w:val="1"/>
          <w:numId w:val="17"/>
        </w:numPr>
        <w:spacing w:after="240" w:line="240" w:lineRule="auto"/>
        <w:ind w:left="643"/>
        <w:rPr>
          <w:rFonts w:ascii="Arial" w:hAnsi="Arial" w:cs="Arial"/>
          <w:b w:val="0"/>
          <w:szCs w:val="24"/>
        </w:rPr>
      </w:pPr>
      <w:r>
        <w:fldChar w:fldCharType="begin"/>
      </w:r>
      <w:r>
        <w:instrText xml:space="preserve"> HYPERLINK "http://www.proceduresonline.com/birmingham/scb/chapters/p_force_marriage.html" </w:instrText>
      </w:r>
      <w:r>
        <w:fldChar w:fldCharType="separate"/>
      </w:r>
      <w:r>
        <w:rPr>
          <w:rStyle w:val="26"/>
          <w:rFonts w:ascii="Arial" w:hAnsi="Arial" w:cs="Arial"/>
          <w:b w:val="0"/>
          <w:color w:val="auto"/>
          <w:szCs w:val="24"/>
          <w:u w:val="none"/>
        </w:rPr>
        <w:t>forced marriage</w:t>
      </w:r>
      <w:r>
        <w:rPr>
          <w:rStyle w:val="26"/>
          <w:rFonts w:ascii="Arial" w:hAnsi="Arial" w:cs="Arial"/>
          <w:b w:val="0"/>
          <w:color w:val="auto"/>
          <w:szCs w:val="24"/>
          <w:u w:val="none"/>
        </w:rPr>
        <w:fldChar w:fldCharType="end"/>
      </w:r>
      <w:r>
        <w:rPr>
          <w:rFonts w:ascii="Arial" w:hAnsi="Arial" w:cs="Arial"/>
          <w:b w:val="0"/>
          <w:szCs w:val="24"/>
        </w:rPr>
        <w:t xml:space="preserve"> / honour based violence</w:t>
      </w:r>
    </w:p>
    <w:p>
      <w:pPr>
        <w:pStyle w:val="14"/>
        <w:numPr>
          <w:ilvl w:val="1"/>
          <w:numId w:val="17"/>
        </w:numPr>
        <w:spacing w:after="240" w:line="240" w:lineRule="auto"/>
        <w:ind w:left="643"/>
        <w:rPr>
          <w:rFonts w:ascii="Arial" w:hAnsi="Arial" w:cs="Arial"/>
          <w:b w:val="0"/>
          <w:szCs w:val="24"/>
        </w:rPr>
      </w:pPr>
      <w:r>
        <w:rPr>
          <w:rFonts w:ascii="Arial" w:hAnsi="Arial" w:cs="Arial"/>
          <w:b w:val="0"/>
          <w:bCs/>
          <w:szCs w:val="24"/>
        </w:rPr>
        <w:t>practice guidance &amp; procedures to distinguish between healthy and abusive sexual behaviours in children and young people</w:t>
      </w:r>
    </w:p>
    <w:p>
      <w:pPr>
        <w:pStyle w:val="14"/>
        <w:numPr>
          <w:ilvl w:val="1"/>
          <w:numId w:val="17"/>
        </w:numPr>
        <w:spacing w:after="240" w:line="240" w:lineRule="auto"/>
        <w:ind w:left="643"/>
        <w:rPr>
          <w:rFonts w:ascii="Arial" w:hAnsi="Arial" w:cs="Arial"/>
          <w:b w:val="0"/>
          <w:szCs w:val="24"/>
        </w:rPr>
      </w:pPr>
      <w:r>
        <w:rPr>
          <w:rFonts w:ascii="Arial" w:hAnsi="Arial" w:cs="Arial"/>
          <w:b w:val="0"/>
          <w:szCs w:val="24"/>
        </w:rPr>
        <w:t>safeguarding children who may have been trafficked</w:t>
      </w:r>
    </w:p>
    <w:p>
      <w:pPr>
        <w:pStyle w:val="54"/>
        <w:numPr>
          <w:ilvl w:val="1"/>
          <w:numId w:val="17"/>
        </w:numPr>
        <w:spacing w:after="240"/>
        <w:ind w:left="643"/>
        <w:rPr>
          <w:bCs/>
          <w:color w:val="auto"/>
        </w:rPr>
      </w:pPr>
      <w:r>
        <w:rPr>
          <w:bCs/>
          <w:color w:val="auto"/>
        </w:rPr>
        <w:t>protocol &amp; guidance; Working with sexually active young people</w:t>
      </w:r>
    </w:p>
    <w:p>
      <w:pPr>
        <w:pStyle w:val="54"/>
        <w:numPr>
          <w:ilvl w:val="1"/>
          <w:numId w:val="17"/>
        </w:numPr>
        <w:spacing w:after="240"/>
        <w:ind w:left="643"/>
        <w:rPr>
          <w:color w:val="auto"/>
        </w:rPr>
      </w:pPr>
      <w:r>
        <w:rPr>
          <w:bCs/>
          <w:color w:val="auto"/>
        </w:rPr>
        <w:t>working with hostile, non-compliant clients and those who use disguised compliance</w:t>
      </w:r>
    </w:p>
    <w:p>
      <w:pPr>
        <w:rPr>
          <w:b/>
        </w:rPr>
      </w:pPr>
      <w:r>
        <w:t xml:space="preserve"> </w:t>
      </w:r>
      <w:r>
        <w:rPr>
          <w:b/>
        </w:rPr>
        <w:t>Children with additional needs</w:t>
      </w:r>
    </w:p>
    <w:p>
      <w:pPr>
        <w:rPr>
          <w:b/>
        </w:rPr>
      </w:pPr>
      <w:r>
        <w:t>We</w:t>
      </w:r>
      <w:r>
        <w:rPr>
          <w:i/>
          <w:iCs/>
        </w:rPr>
        <w:t xml:space="preserve"> </w:t>
      </w:r>
      <w:r>
        <w:t>recognise that while all children have a right to be safe, some children</w:t>
      </w:r>
      <w:r>
        <w:rPr>
          <w:i/>
        </w:rPr>
        <w:t xml:space="preserve"> </w:t>
      </w:r>
      <w:r>
        <w:t xml:space="preserve">may be more vulnerable to being abused, for example those with a disability or special educational need, those living with domestic violence or drug / alcohol abusing parents, etc. </w:t>
      </w:r>
    </w:p>
    <w:p>
      <w:pPr>
        <w:rPr>
          <w:b/>
        </w:rPr>
      </w:pPr>
      <w:r>
        <w:rPr>
          <w:rStyle w:val="26"/>
          <w:b/>
          <w:color w:val="auto"/>
          <w:u w:val="none"/>
        </w:rPr>
        <w:t>Mental Health</w:t>
      </w:r>
    </w:p>
    <w:p>
      <w:pPr>
        <w:pStyle w:val="54"/>
        <w:rPr>
          <w:color w:val="auto"/>
        </w:rPr>
      </w:pPr>
      <w:r>
        <w:rPr>
          <w:color w:val="auto"/>
        </w:rPr>
        <w:t>All staff should be aware that mental health problems can, in some cases, be an indicator that a child has suffered or is at risk of suffering abuse, neglect or exploitation.</w:t>
      </w:r>
      <w:r>
        <w:rPr>
          <w:color w:val="auto"/>
        </w:rPr>
        <w:br w:type="textWrapping"/>
      </w:r>
      <w:r>
        <w:rPr>
          <w:color w:val="auto"/>
        </w:rPr>
        <w:t xml:space="preserve">Only appropriately trained professionals should attempt to make diagnosis of a mental health problem. Staff however, are well placed to observe children day-to-day and identify those who behaviour suggests that they may be experiencing a mental health problem or be at risk of developing one. </w:t>
      </w:r>
      <w:r>
        <w:rPr>
          <w:color w:val="auto"/>
        </w:rPr>
        <w:br w:type="textWrapping"/>
      </w:r>
      <w:r>
        <w:rPr>
          <w:color w:val="auto"/>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r>
        <w:rPr>
          <w:color w:val="auto"/>
        </w:rPr>
        <w:br w:type="textWrapping"/>
      </w:r>
      <w:r>
        <w:rPr>
          <w:color w:val="auto"/>
        </w:rPr>
        <w:t xml:space="preserve">If staff have a mental health concern, about a child that is also a safeguarding concern, immediate action should be taken, following their child protection policy and speaking with the designated safeguarding officer. </w:t>
      </w:r>
    </w:p>
    <w:p>
      <w:pPr>
        <w:pStyle w:val="54"/>
        <w:rPr>
          <w:color w:val="auto"/>
        </w:rPr>
      </w:pPr>
    </w:p>
    <w:p>
      <w:pPr>
        <w:pStyle w:val="54"/>
        <w:spacing w:after="100" w:afterAutospacing="1"/>
        <w:rPr>
          <w:color w:val="auto"/>
        </w:rPr>
      </w:pPr>
      <w:r>
        <w:fldChar w:fldCharType="begin"/>
      </w:r>
      <w:r>
        <w:instrText xml:space="preserve"> HYPERLINK "https://www.gov.uk/government/publications/promoting-children-and-young-peoples-emotional-health-and-wellbeing" </w:instrText>
      </w:r>
      <w:r>
        <w:fldChar w:fldCharType="separate"/>
      </w:r>
      <w:r>
        <w:rPr>
          <w:rStyle w:val="26"/>
        </w:rPr>
        <w:t>Public health has produced a range of resources</w:t>
      </w:r>
      <w:r>
        <w:rPr>
          <w:rStyle w:val="26"/>
        </w:rPr>
        <w:fldChar w:fldCharType="end"/>
      </w:r>
      <w:r>
        <w:rPr>
          <w:color w:val="auto"/>
        </w:rPr>
        <w:t xml:space="preserve"> to support children’s well being and resilience.</w:t>
      </w:r>
    </w:p>
    <w:p>
      <w:pPr>
        <w:pStyle w:val="54"/>
      </w:pPr>
      <w:r>
        <w:fldChar w:fldCharType="begin"/>
      </w:r>
      <w:r>
        <w:instrText xml:space="preserve"> HYPERLINK </w:instrText>
      </w:r>
      <w:r>
        <w:fldChar w:fldCharType="separate"/>
      </w:r>
      <w:r>
        <w:fldChar w:fldCharType="end"/>
      </w:r>
      <w:r>
        <w:t>We</w:t>
      </w:r>
      <w:r>
        <w:rPr>
          <w:i/>
          <w:color w:val="00B050"/>
        </w:rPr>
        <w:t xml:space="preserve"> </w:t>
      </w:r>
      <w:r>
        <w:t xml:space="preserve">will access a range of advice to help them identify children and families in need of extra mental health support and this includes working with external agencies. </w:t>
      </w:r>
    </w:p>
    <w:p>
      <w:pPr>
        <w:pStyle w:val="54"/>
        <w:rPr>
          <w:color w:val="auto"/>
        </w:rPr>
      </w:pPr>
    </w:p>
    <w:p>
      <w:pPr>
        <w:rPr>
          <w:b/>
        </w:rPr>
      </w:pPr>
      <w:r>
        <w:rPr>
          <w:b/>
        </w:rPr>
        <w:t xml:space="preserve"> What we do when we are concerned about a child</w:t>
      </w:r>
    </w:p>
    <w:p>
      <w:pPr>
        <w:pStyle w:val="53"/>
        <w:spacing w:after="240"/>
        <w:rPr>
          <w:rFonts w:ascii="Arial" w:hAnsi="Arial" w:eastAsia="Times New Roman" w:cs="Arial"/>
          <w:b/>
          <w:sz w:val="24"/>
          <w:szCs w:val="24"/>
        </w:rPr>
      </w:pPr>
      <w:r>
        <w:rPr>
          <w:rFonts w:ascii="Arial" w:hAnsi="Arial" w:eastAsia="Times New Roman" w:cs="Arial"/>
          <w:sz w:val="24"/>
          <w:szCs w:val="24"/>
        </w:rPr>
        <w:t>All concerns will be viewed alongside the Local Safeguarding Children’s Board Thresholds Framework in order to ensure the appropriate support or intervention is provided at the earliest opportunity in the least intrusive way.  We will place due regard to the guidance contained in DFE guidance ‘</w:t>
      </w:r>
      <w:r>
        <w:fldChar w:fldCharType="begin"/>
      </w:r>
      <w:r>
        <w:instrText xml:space="preserve"> HYPERLINK "https://www.gov.uk/government/publications/what-to-do-if-youre-worried-a-child-is-being-abused--2" </w:instrText>
      </w:r>
      <w:r>
        <w:fldChar w:fldCharType="separate"/>
      </w:r>
      <w:r>
        <w:rPr>
          <w:rStyle w:val="26"/>
          <w:rFonts w:ascii="Arial" w:hAnsi="Arial" w:eastAsia="Times New Roman" w:cs="Arial"/>
          <w:sz w:val="24"/>
          <w:szCs w:val="24"/>
        </w:rPr>
        <w:t>What to do if you are worried a child is being abused’</w:t>
      </w:r>
      <w:r>
        <w:rPr>
          <w:rStyle w:val="26"/>
          <w:rFonts w:ascii="Arial" w:hAnsi="Arial" w:eastAsia="Times New Roman" w:cs="Arial"/>
          <w:sz w:val="24"/>
          <w:szCs w:val="24"/>
        </w:rPr>
        <w:fldChar w:fldCharType="end"/>
      </w:r>
      <w:r>
        <w:rPr>
          <w:rFonts w:ascii="Arial" w:hAnsi="Arial" w:eastAsia="Times New Roman" w:cs="Arial"/>
          <w:sz w:val="24"/>
          <w:szCs w:val="24"/>
        </w:rPr>
        <w:t xml:space="preserve">, 2015 </w:t>
      </w:r>
    </w:p>
    <w:p>
      <w:pPr>
        <w:pStyle w:val="62"/>
        <w:numPr>
          <w:ilvl w:val="0"/>
          <w:numId w:val="18"/>
        </w:numPr>
        <w:spacing w:after="240" w:line="240" w:lineRule="auto"/>
        <w:ind w:left="643"/>
        <w:rPr>
          <w:rFonts w:cs="Arial"/>
          <w:szCs w:val="24"/>
        </w:rPr>
      </w:pPr>
      <w:r>
        <w:rPr>
          <w:rFonts w:cs="Arial"/>
          <w:szCs w:val="24"/>
        </w:rPr>
        <w:t>if a child discloses concerns of abuse all staff and visitors will be expected to follow the disclosure guidance in appendix 2</w:t>
      </w:r>
    </w:p>
    <w:p>
      <w:pPr>
        <w:pStyle w:val="53"/>
        <w:numPr>
          <w:ilvl w:val="0"/>
          <w:numId w:val="18"/>
        </w:numPr>
        <w:spacing w:after="240"/>
        <w:ind w:left="643"/>
        <w:rPr>
          <w:rFonts w:ascii="Arial" w:hAnsi="Arial" w:eastAsia="Times New Roman" w:cs="Arial"/>
          <w:b/>
          <w:sz w:val="24"/>
          <w:szCs w:val="24"/>
        </w:rPr>
      </w:pPr>
      <w:r>
        <w:rPr>
          <w:rFonts w:ascii="Arial" w:hAnsi="Arial" w:eastAsia="Times New Roman" w:cs="Arial"/>
          <w:sz w:val="24"/>
          <w:szCs w:val="24"/>
        </w:rPr>
        <w:t xml:space="preserve">if, in consultation with the LSCB Thresholds Framework, the level of concern sits at Level 2 or 3 an Early Help Assessment should be completed with the consent of the parent / carer.  Early help may also be provided on a single agency basis by the </w:t>
      </w:r>
      <w:r>
        <w:rPr>
          <w:rFonts w:ascii="Arial" w:hAnsi="Arial" w:cs="Arial"/>
          <w:bCs/>
          <w:kern w:val="36"/>
          <w:sz w:val="24"/>
          <w:szCs w:val="24"/>
        </w:rPr>
        <w:t>early years setting</w:t>
      </w:r>
      <w:r>
        <w:rPr>
          <w:rFonts w:ascii="Arial" w:hAnsi="Arial" w:eastAsia="Times New Roman" w:cs="Arial"/>
          <w:sz w:val="24"/>
          <w:szCs w:val="24"/>
        </w:rPr>
        <w:t xml:space="preserve">, or additional advice may be sought from the Early Help Assessment Team without consent, by making a ‘What if’ call to their team  </w:t>
      </w:r>
    </w:p>
    <w:p>
      <w:pPr>
        <w:pStyle w:val="53"/>
        <w:numPr>
          <w:ilvl w:val="0"/>
          <w:numId w:val="18"/>
        </w:numPr>
        <w:spacing w:after="240"/>
        <w:ind w:left="643"/>
        <w:rPr>
          <w:rFonts w:ascii="Arial" w:hAnsi="Arial" w:eastAsia="Times New Roman" w:cs="Arial"/>
          <w:sz w:val="24"/>
          <w:szCs w:val="24"/>
        </w:rPr>
      </w:pPr>
      <w:r>
        <w:rPr>
          <w:rFonts w:ascii="Arial" w:hAnsi="Arial" w:eastAsia="Times New Roman" w:cs="Arial"/>
          <w:sz w:val="24"/>
          <w:szCs w:val="24"/>
        </w:rPr>
        <w:t>in the event that provision of early help has not led to improvements for the child / family, or if concerns for the child/family escalate, our</w:t>
      </w:r>
      <w:r>
        <w:rPr>
          <w:rFonts w:ascii="Arial" w:hAnsi="Arial" w:cs="Arial"/>
          <w:bCs/>
          <w:kern w:val="36"/>
          <w:sz w:val="24"/>
          <w:szCs w:val="24"/>
        </w:rPr>
        <w:t xml:space="preserve"> early years setting</w:t>
      </w:r>
      <w:r>
        <w:rPr>
          <w:rFonts w:ascii="Arial" w:hAnsi="Arial" w:eastAsia="Times New Roman" w:cs="Arial"/>
          <w:sz w:val="24"/>
          <w:szCs w:val="24"/>
        </w:rPr>
        <w:t xml:space="preserve"> will follow the step-up procedures published by the Local Safeguarding Children’s Board (LSCB). We will review each case to ensure that any support or intervention provided has impacted positively on the welfare / safety of   the child or young person and that improvement is sustained</w:t>
      </w:r>
    </w:p>
    <w:p>
      <w:pPr>
        <w:pStyle w:val="53"/>
        <w:numPr>
          <w:ilvl w:val="0"/>
          <w:numId w:val="18"/>
        </w:numPr>
        <w:spacing w:after="240"/>
        <w:ind w:left="643"/>
        <w:rPr>
          <w:rFonts w:ascii="Arial" w:hAnsi="Arial" w:eastAsia="Times New Roman" w:cs="Arial"/>
          <w:sz w:val="24"/>
          <w:szCs w:val="24"/>
        </w:rPr>
      </w:pPr>
      <w:r>
        <w:rPr>
          <w:rFonts w:ascii="Arial" w:hAnsi="Arial" w:eastAsia="Times New Roman" w:cs="Arial"/>
          <w:sz w:val="24"/>
          <w:szCs w:val="24"/>
        </w:rPr>
        <w:t>in consultation with the Luton Thresholds Framework, if the concerns about the child or young person indicate that they may be at risk of, or suffering significant harm, a referral will be made to the Multi-Agency Safeguarding Hub</w:t>
      </w:r>
    </w:p>
    <w:p>
      <w:pPr>
        <w:autoSpaceDE w:val="0"/>
        <w:autoSpaceDN w:val="0"/>
        <w:spacing w:after="240" w:line="240" w:lineRule="auto"/>
        <w:rPr>
          <w:rFonts w:cs="Arial"/>
          <w:b/>
          <w:szCs w:val="24"/>
        </w:rPr>
      </w:pPr>
      <w:r>
        <w:rPr>
          <w:rFonts w:cs="Arial"/>
          <w:szCs w:val="24"/>
        </w:rPr>
        <w:t xml:space="preserve">In the event of a professional disagreement in relation to a specific concern, our </w:t>
      </w:r>
      <w:r>
        <w:rPr>
          <w:rFonts w:cs="Arial"/>
          <w:bCs/>
          <w:kern w:val="36"/>
          <w:szCs w:val="24"/>
        </w:rPr>
        <w:t>early years setting</w:t>
      </w:r>
      <w:r>
        <w:rPr>
          <w:rFonts w:cs="Arial"/>
          <w:szCs w:val="24"/>
        </w:rPr>
        <w:t xml:space="preserve"> will follow the </w:t>
      </w:r>
      <w:r>
        <w:fldChar w:fldCharType="begin"/>
      </w:r>
      <w:r>
        <w:instrText xml:space="preserve"> HYPERLINK "https://bedfordscb.proceduresonline.com/p_resolution_disagree.html" \l "-5.-procedure-escalation-of-professional-concerns" </w:instrText>
      </w:r>
      <w:r>
        <w:fldChar w:fldCharType="separate"/>
      </w:r>
      <w:r>
        <w:rPr>
          <w:rStyle w:val="26"/>
          <w:rFonts w:cs="Arial"/>
          <w:szCs w:val="24"/>
        </w:rPr>
        <w:t>Local Safeguarding Children’s Board procedures for resolution of professional disagreements</w:t>
      </w:r>
      <w:r>
        <w:rPr>
          <w:rStyle w:val="26"/>
          <w:rFonts w:cs="Arial"/>
          <w:szCs w:val="24"/>
        </w:rPr>
        <w:fldChar w:fldCharType="end"/>
      </w:r>
      <w:r>
        <w:rPr>
          <w:rFonts w:cs="Arial"/>
          <w:szCs w:val="24"/>
        </w:rPr>
        <w:t>, also known as escalation procedures</w:t>
      </w:r>
      <w:r>
        <w:rPr>
          <w:rFonts w:cs="Arial"/>
        </w:rPr>
        <w:t>.</w:t>
      </w:r>
      <w:r>
        <w:rPr>
          <w:rFonts w:cs="Arial"/>
          <w:b/>
          <w:szCs w:val="24"/>
        </w:rPr>
        <w:t xml:space="preserve"> </w:t>
      </w:r>
    </w:p>
    <w:p>
      <w:pPr>
        <w:pStyle w:val="3"/>
      </w:pPr>
      <w:r>
        <w:t xml:space="preserve"> </w:t>
      </w:r>
      <w:bookmarkStart w:id="19" w:name="_Toc49500863"/>
      <w:r>
        <w:t>Involving parents and carers</w:t>
      </w:r>
      <w:bookmarkEnd w:id="19"/>
      <w:r>
        <w:t xml:space="preserve"> </w:t>
      </w:r>
    </w:p>
    <w:p>
      <w:pPr>
        <w:spacing w:after="0" w:line="240" w:lineRule="auto"/>
      </w:pPr>
      <w:r>
        <w:rPr>
          <w:rFonts w:cs="Arial"/>
          <w:szCs w:val="24"/>
        </w:rPr>
        <w:t xml:space="preserve">Unless a child is deemed to be at risk of significant harm there may be occasions when our </w:t>
      </w:r>
      <w:r>
        <w:rPr>
          <w:rFonts w:cs="Arial"/>
          <w:bCs/>
          <w:szCs w:val="24"/>
        </w:rPr>
        <w:t>early years setting</w:t>
      </w:r>
      <w:r>
        <w:rPr>
          <w:rFonts w:cs="Arial"/>
          <w:szCs w:val="24"/>
        </w:rPr>
        <w:t xml:space="preserve"> will contact another agency to seek advice on safeguarding and child protection concerns </w:t>
      </w:r>
      <w:r>
        <w:rPr>
          <w:rFonts w:cs="Arial"/>
          <w:b/>
          <w:szCs w:val="24"/>
        </w:rPr>
        <w:t>before</w:t>
      </w:r>
      <w:r>
        <w:rPr>
          <w:rFonts w:cs="Arial"/>
          <w:szCs w:val="24"/>
        </w:rPr>
        <w:t xml:space="preserve"> informing parents/carers because it considers that contacting them may increase the risk of significant harm to the child </w:t>
      </w:r>
      <w:r>
        <w:t xml:space="preserve">In general, we will discuss any safeguarding and child protection concerns with parents / carers before approaching other agencies, and will seek their consent to making a referral to another agency.  </w:t>
      </w:r>
    </w:p>
    <w:p>
      <w:pPr>
        <w:pStyle w:val="14"/>
        <w:spacing w:after="240" w:line="240" w:lineRule="auto"/>
        <w:ind w:left="720" w:hanging="720"/>
        <w:rPr>
          <w:rFonts w:ascii="Arial" w:hAnsi="Arial" w:cs="Arial"/>
          <w:b w:val="0"/>
          <w:szCs w:val="24"/>
        </w:rPr>
      </w:pPr>
      <w:r>
        <w:rPr>
          <w:rFonts w:ascii="Arial" w:hAnsi="Arial" w:cs="Arial"/>
          <w:b w:val="0"/>
          <w:szCs w:val="24"/>
        </w:rPr>
        <w:t>Parents / carers will be informed about our safeguarding policy through: ……. …………</w:t>
      </w:r>
    </w:p>
    <w:p>
      <w:pPr>
        <w:pStyle w:val="14"/>
        <w:spacing w:after="240" w:line="240" w:lineRule="auto"/>
        <w:ind w:left="720" w:hanging="720"/>
        <w:rPr>
          <w:rFonts w:ascii="Arial" w:hAnsi="Arial" w:cs="Arial"/>
          <w:b w:val="0"/>
          <w:szCs w:val="24"/>
        </w:rPr>
      </w:pPr>
      <w:r>
        <w:rPr>
          <w:rFonts w:ascii="Arial" w:hAnsi="Arial" w:cs="Arial"/>
          <w:b w:val="0"/>
          <w:szCs w:val="24"/>
        </w:rPr>
        <w:t xml:space="preserve"> </w:t>
      </w:r>
      <w:r>
        <w:rPr>
          <w:rFonts w:ascii="Arial" w:hAnsi="Arial" w:cs="Arial"/>
          <w:b w:val="0"/>
          <w:i/>
          <w:szCs w:val="24"/>
        </w:rPr>
        <w:t xml:space="preserve">(Examples: </w:t>
      </w:r>
      <w:r>
        <w:rPr>
          <w:rFonts w:ascii="Arial" w:hAnsi="Arial" w:cs="Arial"/>
          <w:b w:val="0"/>
          <w:bCs/>
          <w:kern w:val="36"/>
          <w:szCs w:val="24"/>
        </w:rPr>
        <w:t>early years setting</w:t>
      </w:r>
      <w:r>
        <w:rPr>
          <w:rFonts w:ascii="Arial" w:hAnsi="Arial" w:cs="Arial"/>
          <w:b w:val="0"/>
          <w:i/>
          <w:szCs w:val="24"/>
        </w:rPr>
        <w:t xml:space="preserve"> prospectus, website, newsletter, Safeguarding notice board. etc.</w:t>
      </w:r>
    </w:p>
    <w:p>
      <w:pPr>
        <w:rPr>
          <w:b/>
        </w:rPr>
      </w:pPr>
      <w:r>
        <w:t xml:space="preserve"> </w:t>
      </w:r>
      <w:r>
        <w:rPr>
          <w:b/>
        </w:rPr>
        <w:t xml:space="preserve">Multi agency working </w:t>
      </w:r>
    </w:p>
    <w:p>
      <w:pPr>
        <w:rPr>
          <w:b/>
        </w:rPr>
      </w:pPr>
      <w:r>
        <w:t>We understand our role in the three safeguarding partner arrangements.  Committees and owners will make themselves aware of, and follow, local arrangements. Our early years setting will ensure representation at appropriate inter-agency meetings such as team around the family meetings, initial and review child protection conferences, together with core group meetings. If our representative is unable to attend a written report will be sent. We will co-operate with any child protection enquiries conducted by children’s social care: we will ensure representation at appropriate inter-agency</w:t>
      </w:r>
      <w:r>
        <w:rPr>
          <w:rFonts w:cs="Arial"/>
          <w:szCs w:val="24"/>
        </w:rPr>
        <w:t xml:space="preserve"> meetings such as team around the family meetings, initial and review child protection conferences, together with core group meetings.</w:t>
      </w:r>
    </w:p>
    <w:p>
      <w:pPr>
        <w:pStyle w:val="13"/>
        <w:numPr>
          <w:ilvl w:val="0"/>
          <w:numId w:val="19"/>
        </w:numPr>
        <w:tabs>
          <w:tab w:val="clear" w:pos="0"/>
          <w:tab w:val="clear" w:pos="1440"/>
          <w:tab w:val="clear" w:pos="2160"/>
        </w:tabs>
        <w:spacing w:after="240"/>
        <w:ind w:left="643"/>
        <w:jc w:val="left"/>
        <w:rPr>
          <w:rFonts w:cs="Arial"/>
          <w:b w:val="0"/>
          <w:sz w:val="24"/>
          <w:szCs w:val="24"/>
        </w:rPr>
      </w:pPr>
      <w:r>
        <w:rPr>
          <w:rFonts w:cs="Arial"/>
          <w:b w:val="0"/>
          <w:sz w:val="24"/>
          <w:szCs w:val="24"/>
        </w:rPr>
        <w:t xml:space="preserve">we will provide reports as required for these meetings in accordance with the LSCB interagency procedures. If we are unable to attend, a written report will be sent.  The report will, wherever possible, be shared with parents / carers at least 24 hours prior to the meeting </w:t>
      </w:r>
    </w:p>
    <w:p>
      <w:pPr>
        <w:pStyle w:val="13"/>
        <w:numPr>
          <w:ilvl w:val="0"/>
          <w:numId w:val="19"/>
        </w:numPr>
        <w:tabs>
          <w:tab w:val="clear" w:pos="0"/>
          <w:tab w:val="clear" w:pos="1440"/>
          <w:tab w:val="clear" w:pos="2160"/>
        </w:tabs>
        <w:spacing w:after="240"/>
        <w:ind w:left="643"/>
        <w:jc w:val="left"/>
        <w:rPr>
          <w:rFonts w:cs="Arial"/>
          <w:b w:val="0"/>
          <w:sz w:val="24"/>
          <w:szCs w:val="24"/>
        </w:rPr>
      </w:pPr>
      <w:r>
        <w:rPr>
          <w:rFonts w:cs="Arial"/>
          <w:b w:val="0"/>
          <w:sz w:val="24"/>
          <w:szCs w:val="24"/>
        </w:rPr>
        <w:t>we will co-operate with any child protection enquiries conducted by children’s social care. We will ensure representation at appropriate inter-agency meetings such as team around the family meetings, initial and review child protection conferences, together with core group meetings</w:t>
      </w:r>
    </w:p>
    <w:p>
      <w:pPr>
        <w:pStyle w:val="13"/>
        <w:numPr>
          <w:ilvl w:val="0"/>
          <w:numId w:val="19"/>
        </w:numPr>
        <w:tabs>
          <w:tab w:val="clear" w:pos="0"/>
          <w:tab w:val="clear" w:pos="1440"/>
          <w:tab w:val="clear" w:pos="2160"/>
        </w:tabs>
        <w:spacing w:after="240"/>
        <w:ind w:left="643"/>
        <w:jc w:val="left"/>
        <w:rPr>
          <w:rFonts w:cs="Arial"/>
          <w:b w:val="0"/>
          <w:sz w:val="24"/>
          <w:szCs w:val="24"/>
        </w:rPr>
      </w:pPr>
      <w:r>
        <w:rPr>
          <w:rFonts w:cs="Arial"/>
          <w:b w:val="0"/>
          <w:sz w:val="24"/>
          <w:szCs w:val="24"/>
        </w:rPr>
        <w:t>where a child is subject to an inter-agency child protection plan, child in need plan or early help assessment, we will contribute to the preparation, implementation and review of the plan as appropriate</w:t>
      </w:r>
    </w:p>
    <w:p>
      <w:pPr>
        <w:pStyle w:val="13"/>
        <w:numPr>
          <w:ilvl w:val="0"/>
          <w:numId w:val="19"/>
        </w:numPr>
        <w:tabs>
          <w:tab w:val="clear" w:pos="0"/>
          <w:tab w:val="clear" w:pos="1440"/>
          <w:tab w:val="clear" w:pos="2160"/>
        </w:tabs>
        <w:spacing w:after="240" w:line="240" w:lineRule="auto"/>
        <w:ind w:left="643"/>
        <w:jc w:val="left"/>
        <w:rPr>
          <w:rFonts w:cs="Arial"/>
          <w:b w:val="0"/>
          <w:sz w:val="24"/>
          <w:szCs w:val="24"/>
        </w:rPr>
      </w:pPr>
      <w:r>
        <w:rPr>
          <w:rFonts w:cs="Arial"/>
          <w:b w:val="0"/>
          <w:sz w:val="24"/>
          <w:szCs w:val="24"/>
        </w:rPr>
        <w:t>if a child is subject to a referral to a multi-agency safeguarding panel such as MARAC, MAGPAN OR CHANNEL we will contribute to such arrangements.</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2"/>
          <w:szCs w:val="22"/>
          <w:lang w:val="en-US"/>
        </w:rPr>
      </w:pPr>
    </w:p>
    <w:p>
      <w:pPr>
        <w:pStyle w:val="3"/>
      </w:pPr>
      <w:bookmarkStart w:id="20" w:name="_Toc49500864"/>
      <w:r>
        <w:t>Responding to an allegation or concern about a member of staff, student or volunteer</w:t>
      </w:r>
      <w:bookmarkEnd w:id="20"/>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4"/>
          <w:szCs w:val="24"/>
          <w:lang w:val="en-US"/>
        </w:rPr>
      </w:pPr>
      <w:r>
        <w:rPr>
          <w:rFonts w:cs="Arial"/>
          <w:b w:val="0"/>
          <w:sz w:val="24"/>
          <w:szCs w:val="24"/>
          <w:lang w:val="en-US"/>
        </w:rPr>
        <w:t>We will comply with the Local Safeguarding Children’s Board (LSCB) procedures for managing allegations and concerns about adults that work or volunteer with children in all circumstances.</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2"/>
          <w:szCs w:val="22"/>
        </w:rPr>
      </w:pPr>
      <w:r>
        <w:rPr>
          <w:rFonts w:cs="Arial"/>
          <w:b w:val="0"/>
          <w:sz w:val="24"/>
          <w:szCs w:val="24"/>
        </w:rPr>
        <w:t>This procedure should be used when it is alleged that an Owner, Committee member, Nursery Manager, Pre School Leader, member of staff, visiting professional or volunteer has</w:t>
      </w:r>
      <w:r>
        <w:rPr>
          <w:rFonts w:cs="Arial"/>
          <w:b w:val="0"/>
          <w:sz w:val="22"/>
          <w:szCs w:val="22"/>
        </w:rPr>
        <w:t xml:space="preserve">: </w:t>
      </w:r>
    </w:p>
    <w:p>
      <w:pPr>
        <w:pStyle w:val="13"/>
        <w:numPr>
          <w:ilvl w:val="0"/>
          <w:numId w:val="20"/>
        </w:numPr>
        <w:tabs>
          <w:tab w:val="clear" w:pos="144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643"/>
        <w:jc w:val="left"/>
        <w:rPr>
          <w:rFonts w:cs="Arial"/>
          <w:b w:val="0"/>
          <w:sz w:val="24"/>
          <w:szCs w:val="24"/>
        </w:rPr>
      </w:pPr>
      <w:r>
        <w:rPr>
          <w:rFonts w:cs="Arial"/>
          <w:b w:val="0"/>
          <w:sz w:val="24"/>
          <w:szCs w:val="24"/>
        </w:rPr>
        <w:t>behaved in a way that has harmed a child or may have harmed a child</w:t>
      </w:r>
    </w:p>
    <w:p>
      <w:pPr>
        <w:pStyle w:val="13"/>
        <w:numPr>
          <w:ilvl w:val="0"/>
          <w:numId w:val="20"/>
        </w:numPr>
        <w:tabs>
          <w:tab w:val="clear" w:pos="144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643"/>
        <w:jc w:val="left"/>
        <w:rPr>
          <w:rFonts w:cs="Arial"/>
          <w:b w:val="0"/>
          <w:sz w:val="24"/>
          <w:szCs w:val="24"/>
        </w:rPr>
      </w:pPr>
      <w:r>
        <w:rPr>
          <w:rFonts w:cs="Arial"/>
          <w:b w:val="0"/>
          <w:sz w:val="24"/>
          <w:szCs w:val="24"/>
        </w:rPr>
        <w:t>possibly committed a criminal offence against or related to a child or</w:t>
      </w:r>
    </w:p>
    <w:p>
      <w:pPr>
        <w:pStyle w:val="13"/>
        <w:numPr>
          <w:ilvl w:val="0"/>
          <w:numId w:val="20"/>
        </w:numPr>
        <w:tabs>
          <w:tab w:val="clear" w:pos="144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643"/>
        <w:jc w:val="left"/>
        <w:rPr>
          <w:rFonts w:cs="Arial"/>
          <w:b w:val="0"/>
          <w:sz w:val="24"/>
          <w:szCs w:val="24"/>
        </w:rPr>
      </w:pPr>
      <w:r>
        <w:rPr>
          <w:rFonts w:cs="Arial"/>
          <w:b w:val="0"/>
          <w:sz w:val="24"/>
          <w:szCs w:val="24"/>
        </w:rPr>
        <w:t>behaved in a way that indicates s/he may pose a risk of harm to children</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r>
        <w:rPr>
          <w:rFonts w:cs="Arial"/>
          <w:b w:val="0"/>
          <w:sz w:val="24"/>
          <w:szCs w:val="24"/>
        </w:rPr>
        <w:t xml:space="preserve">Although it is an uncomfortable thought, it needs to be acknowledged that there is the potential for an adult in an </w:t>
      </w:r>
      <w:r>
        <w:rPr>
          <w:rFonts w:cs="Arial"/>
          <w:b w:val="0"/>
          <w:bCs/>
          <w:kern w:val="36"/>
          <w:sz w:val="24"/>
          <w:szCs w:val="24"/>
        </w:rPr>
        <w:t>early years setting</w:t>
      </w:r>
      <w:r>
        <w:rPr>
          <w:rFonts w:cs="Arial"/>
          <w:b w:val="0"/>
          <w:sz w:val="24"/>
          <w:szCs w:val="24"/>
        </w:rPr>
        <w:t xml:space="preserve"> to abuse or mistreat children</w:t>
      </w:r>
      <w:r>
        <w:rPr>
          <w:rFonts w:cs="Arial"/>
          <w:b w:val="0"/>
          <w:sz w:val="22"/>
          <w:szCs w:val="22"/>
        </w:rPr>
        <w:t xml:space="preserve">. </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4"/>
          <w:szCs w:val="24"/>
        </w:rPr>
      </w:pPr>
      <w:r>
        <w:rPr>
          <w:rFonts w:cs="Arial"/>
          <w:b w:val="0"/>
          <w:sz w:val="24"/>
          <w:szCs w:val="24"/>
        </w:rPr>
        <w:t>All staff working within our early years setting must report any potential safeguarding concerns about an individual’s behaviour towards children immediately.  Allegations or concerns about colleagues and visitors must be reported direct to the Manager/Pre School Leader.</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4"/>
          <w:szCs w:val="24"/>
        </w:rPr>
      </w:pPr>
      <w:r>
        <w:rPr>
          <w:rFonts w:cs="Arial"/>
          <w:b w:val="0"/>
          <w:sz w:val="24"/>
          <w:szCs w:val="24"/>
        </w:rPr>
        <w:t>Unless the concern relates to the Manager/Pre School Leader then it must be reported immediately to the committee/owner.  Alternatively, concerns can be reported directly to the Local Authority Designated Officer (LADO) in children’s social care.</w:t>
      </w:r>
      <w:r>
        <w:rPr>
          <w:rFonts w:cs="Arial"/>
          <w:b w:val="0"/>
          <w:color w:val="FF0000"/>
          <w:sz w:val="24"/>
          <w:szCs w:val="24"/>
        </w:rPr>
        <w:t xml:space="preserve"> </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643"/>
        <w:jc w:val="left"/>
        <w:rPr>
          <w:rFonts w:cs="Arial"/>
          <w:b w:val="0"/>
          <w:sz w:val="24"/>
          <w:szCs w:val="24"/>
        </w:rPr>
      </w:pPr>
      <w:r>
        <w:rPr>
          <w:rFonts w:cs="Arial"/>
          <w:b w:val="0"/>
          <w:sz w:val="24"/>
          <w:szCs w:val="24"/>
        </w:rPr>
        <w:t>if staff feel they cannot raise a concern that the early years setting is placing children at risk or not responding to concerns about a professional, contact to the NSPCC Whistleblowing hotline 0800 028 0285 can be made .The line is available from 8.00am to 8.00pm, Monday to Friday or email</w:t>
      </w:r>
      <w:r>
        <w:rPr>
          <w:rFonts w:cs="Arial" w:eastAsiaTheme="minorHAnsi"/>
          <w:b w:val="0"/>
          <w:color w:val="000000"/>
          <w:sz w:val="24"/>
          <w:szCs w:val="24"/>
          <w:lang w:eastAsia="en-US"/>
        </w:rPr>
        <w:t xml:space="preserve"> </w:t>
      </w:r>
      <w:r>
        <w:fldChar w:fldCharType="begin"/>
      </w:r>
      <w:r>
        <w:instrText xml:space="preserve"> HYPERLINK "mailto:help@nspcc.org.uk" </w:instrText>
      </w:r>
      <w:r>
        <w:fldChar w:fldCharType="separate"/>
      </w:r>
      <w:r>
        <w:rPr>
          <w:rStyle w:val="26"/>
          <w:rFonts w:cs="Arial" w:eastAsiaTheme="minorHAnsi"/>
          <w:b w:val="0"/>
          <w:sz w:val="24"/>
          <w:szCs w:val="24"/>
          <w:lang w:eastAsia="en-US"/>
        </w:rPr>
        <w:t>help@nspcc.org.uk</w:t>
      </w:r>
      <w:r>
        <w:rPr>
          <w:rStyle w:val="26"/>
          <w:rFonts w:cs="Arial" w:eastAsiaTheme="minorHAnsi"/>
          <w:b w:val="0"/>
          <w:sz w:val="24"/>
          <w:szCs w:val="24"/>
          <w:lang w:eastAsia="en-US"/>
        </w:rPr>
        <w:fldChar w:fldCharType="end"/>
      </w:r>
      <w:r>
        <w:rPr>
          <w:rFonts w:cs="Arial" w:eastAsiaTheme="minorHAnsi"/>
          <w:b w:val="0"/>
          <w:color w:val="000000"/>
          <w:sz w:val="24"/>
          <w:szCs w:val="24"/>
          <w:lang w:eastAsia="en-US"/>
        </w:rPr>
        <w:t xml:space="preserve">. </w:t>
      </w:r>
    </w:p>
    <w:p>
      <w:pPr>
        <w:pStyle w:val="13"/>
        <w:numPr>
          <w:ilvl w:val="0"/>
          <w:numId w:val="2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643"/>
        <w:jc w:val="left"/>
        <w:rPr>
          <w:rFonts w:cs="Arial"/>
          <w:b w:val="0"/>
          <w:sz w:val="24"/>
          <w:szCs w:val="24"/>
        </w:rPr>
      </w:pPr>
      <w:r>
        <w:rPr>
          <w:rFonts w:cs="Arial"/>
          <w:b w:val="0"/>
          <w:sz w:val="24"/>
          <w:szCs w:val="24"/>
        </w:rPr>
        <w:t>The LADO should be contacted at the earliest possible opportunity and within 1 working day.</w:t>
      </w:r>
    </w:p>
    <w:p>
      <w:pPr>
        <w:pStyle w:val="54"/>
        <w:numPr>
          <w:ilvl w:val="0"/>
          <w:numId w:val="21"/>
        </w:numPr>
        <w:spacing w:after="240"/>
        <w:ind w:left="643"/>
        <w:rPr>
          <w:rFonts w:eastAsiaTheme="minorHAnsi"/>
          <w:lang w:eastAsia="en-US"/>
        </w:rPr>
      </w:pPr>
      <w:r>
        <w:t xml:space="preserve">Ofsted must be notified of the action taken as soon as is reasonably practicable, but at the latest within 14 days of the allegations being made. </w:t>
      </w:r>
      <w:r>
        <w:rPr>
          <w:rFonts w:eastAsiaTheme="minorHAnsi"/>
          <w:lang w:eastAsia="en-US"/>
        </w:rPr>
        <w:t xml:space="preserve">A registered early years provider who, without reasonable excuse, fails to comply with this requirement, commits an offence </w:t>
      </w:r>
      <w:r>
        <w:rPr>
          <w:rFonts w:eastAsiaTheme="minorHAnsi"/>
          <w:b/>
          <w:lang w:eastAsia="en-US"/>
        </w:rPr>
        <w:t>(3.8 EYFS)</w:t>
      </w:r>
    </w:p>
    <w:p>
      <w:pPr>
        <w:pStyle w:val="3"/>
        <w:spacing w:after="240"/>
      </w:pPr>
      <w:bookmarkStart w:id="21" w:name="_Toc49500865"/>
      <w:r>
        <w:t>Local Authority Designated Officer (LADO)</w:t>
      </w:r>
      <w:bookmarkEnd w:id="21"/>
      <w:r>
        <w:t xml:space="preserve"> </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74" w:hanging="720"/>
        <w:jc w:val="left"/>
        <w:rPr>
          <w:rFonts w:cs="Arial"/>
          <w:sz w:val="24"/>
          <w:szCs w:val="24"/>
        </w:rPr>
      </w:pPr>
      <w:r>
        <w:rPr>
          <w:rFonts w:cs="Arial"/>
          <w:sz w:val="22"/>
          <w:szCs w:val="22"/>
        </w:rPr>
        <w:tab/>
      </w:r>
      <w:r>
        <w:rPr>
          <w:rFonts w:cs="Arial"/>
          <w:sz w:val="24"/>
          <w:szCs w:val="24"/>
        </w:rPr>
        <w:t>Luton LADO can be contacted on 01582 548069</w:t>
      </w:r>
      <w:r>
        <w:rPr>
          <w:rFonts w:cs="Arial"/>
          <w:b w:val="0"/>
          <w:sz w:val="24"/>
          <w:szCs w:val="24"/>
        </w:rPr>
        <w:t xml:space="preserve"> – </w:t>
      </w:r>
      <w:r>
        <w:rPr>
          <w:rFonts w:cs="Arial"/>
          <w:sz w:val="24"/>
          <w:szCs w:val="24"/>
        </w:rPr>
        <w:t>OFSTED must also be contacted on 03001231231</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74" w:hanging="720"/>
        <w:jc w:val="left"/>
        <w:rPr>
          <w:rFonts w:cs="Arial"/>
          <w:sz w:val="24"/>
          <w:szCs w:val="24"/>
        </w:rPr>
      </w:pP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74" w:hanging="720"/>
        <w:jc w:val="left"/>
        <w:rPr>
          <w:rFonts w:cs="Arial"/>
          <w:sz w:val="24"/>
          <w:szCs w:val="24"/>
        </w:rPr>
      </w:pP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4"/>
          <w:szCs w:val="24"/>
        </w:rPr>
      </w:pPr>
      <w:r>
        <w:rPr>
          <w:rFonts w:cs="Arial"/>
          <w:b w:val="0"/>
          <w:sz w:val="24"/>
          <w:szCs w:val="24"/>
        </w:rPr>
        <w:t>The LADO may request a written referral. If this is requested the written referral will be completed and submitted within 1 working day</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4"/>
          <w:szCs w:val="24"/>
        </w:rPr>
      </w:pPr>
      <w:r>
        <w:rPr>
          <w:rFonts w:cs="Arial"/>
          <w:b w:val="0"/>
          <w:sz w:val="24"/>
          <w:szCs w:val="24"/>
        </w:rPr>
        <w:t>Our early years setting will engage with the LADO at all stages of the management of the allegation / concern and comply with the local procedures published by the LSCB.  In this regard, our early years setting will consider whether it is necessary to suspend the member of staff/volunteer while the allegation or concern is investigated, however all reasonable alternatives to manage the risk will be considered.  Due consideration will be given to the view of the LADO in relation to suspension or how safeguards are in place to ensure the member of staff is supervised at all times while a matter is investigated. We will dismiss a member of staff/volunteer as a result of a substantiated allegation, or should a member of staff/volunteer resign before an investigation has been completed, in accordance with Statutory Duty, a referral to the Disclosure and Barring Service will be made. (Appendix 3)</w:t>
      </w:r>
    </w:p>
    <w:p>
      <w:pPr>
        <w:pStyle w:val="13"/>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cs="Arial"/>
          <w:b w:val="0"/>
          <w:sz w:val="24"/>
          <w:szCs w:val="24"/>
        </w:rPr>
      </w:pPr>
    </w:p>
    <w:p>
      <w:pPr>
        <w:pStyle w:val="3"/>
        <w:spacing w:after="240"/>
        <w:rPr>
          <w:rFonts w:eastAsiaTheme="minorHAnsi"/>
          <w:lang w:eastAsia="en-US"/>
        </w:rPr>
      </w:pPr>
      <w:bookmarkStart w:id="22" w:name="_Toc49500866"/>
      <w:r>
        <w:rPr>
          <w:rFonts w:eastAsiaTheme="minorHAnsi"/>
          <w:lang w:eastAsia="en-US"/>
        </w:rPr>
        <w:t>Mobile Phones and Photographs</w:t>
      </w:r>
      <w:bookmarkEnd w:id="22"/>
      <w:r>
        <w:rPr>
          <w:rFonts w:eastAsiaTheme="minorHAnsi"/>
          <w:lang w:eastAsia="en-US"/>
        </w:rPr>
        <w:t xml:space="preserve"> </w:t>
      </w:r>
    </w:p>
    <w:p>
      <w:pPr>
        <w:autoSpaceDE w:val="0"/>
        <w:autoSpaceDN w:val="0"/>
        <w:adjustRightInd w:val="0"/>
        <w:spacing w:after="0" w:line="240" w:lineRule="auto"/>
        <w:rPr>
          <w:rFonts w:cs="Arial" w:eastAsiaTheme="minorHAnsi"/>
          <w:szCs w:val="24"/>
          <w:lang w:eastAsia="en-US"/>
        </w:rPr>
      </w:pPr>
      <w:r>
        <w:rPr>
          <w:rFonts w:cs="Arial" w:eastAsiaTheme="minorHAnsi"/>
          <w:szCs w:val="24"/>
          <w:lang w:eastAsia="en-US"/>
        </w:rPr>
        <w:t>Visitors and staff/volunteers’ personal mobile phones and photographic devices will not be allowed in the early years setting. They will be secured in the office</w:t>
      </w:r>
      <w:r>
        <w:rPr>
          <w:rFonts w:cs="Arial" w:eastAsiaTheme="minorHAnsi"/>
          <w:b/>
          <w:szCs w:val="24"/>
          <w:lang w:eastAsia="en-US"/>
        </w:rPr>
        <w:t xml:space="preserve"> </w:t>
      </w:r>
      <w:r>
        <w:rPr>
          <w:rFonts w:cs="Arial" w:eastAsiaTheme="minorHAnsi"/>
          <w:szCs w:val="24"/>
          <w:lang w:eastAsia="en-US"/>
        </w:rPr>
        <w:t>(3.4 EYFS)</w:t>
      </w:r>
    </w:p>
    <w:p>
      <w:pPr>
        <w:autoSpaceDE w:val="0"/>
        <w:autoSpaceDN w:val="0"/>
        <w:adjustRightInd w:val="0"/>
        <w:spacing w:after="0" w:line="240" w:lineRule="auto"/>
        <w:rPr>
          <w:rFonts w:cs="Arial" w:eastAsiaTheme="minorHAnsi"/>
          <w:szCs w:val="24"/>
          <w:lang w:eastAsia="en-US"/>
        </w:rPr>
      </w:pPr>
      <w:r>
        <w:rPr>
          <w:rFonts w:cs="Arial" w:eastAsiaTheme="minorHAnsi"/>
          <w:szCs w:val="24"/>
          <w:lang w:eastAsia="en-US"/>
        </w:rPr>
        <w:t>This information will be communicated through our policies, newsletters, signage, notices, etc.</w:t>
      </w:r>
    </w:p>
    <w:p>
      <w:pPr>
        <w:autoSpaceDE w:val="0"/>
        <w:autoSpaceDN w:val="0"/>
        <w:adjustRightInd w:val="0"/>
        <w:spacing w:after="0" w:line="240" w:lineRule="auto"/>
        <w:rPr>
          <w:rFonts w:cs="Arial" w:eastAsiaTheme="minorHAnsi"/>
          <w:sz w:val="22"/>
          <w:szCs w:val="22"/>
          <w:lang w:eastAsia="en-US"/>
        </w:rPr>
      </w:pPr>
      <w:r>
        <w:rPr>
          <w:rFonts w:cs="Arial" w:eastAsiaTheme="minorHAnsi"/>
          <w:szCs w:val="24"/>
          <w:lang w:eastAsia="en-US"/>
        </w:rPr>
        <w:t>All staff/volunteers will be asked to sign to state they are aware and abide by this rule. It will be considered a breach of our rules if staff do not comply and will be subject to disciplinary actions</w:t>
      </w:r>
      <w:r>
        <w:rPr>
          <w:rFonts w:cs="Arial" w:eastAsiaTheme="minorHAnsi"/>
          <w:sz w:val="22"/>
          <w:szCs w:val="22"/>
          <w:lang w:eastAsia="en-US"/>
        </w:rPr>
        <w:t>.</w:t>
      </w:r>
    </w:p>
    <w:p>
      <w:pPr>
        <w:autoSpaceDE w:val="0"/>
        <w:autoSpaceDN w:val="0"/>
        <w:adjustRightInd w:val="0"/>
        <w:spacing w:after="0" w:line="240" w:lineRule="auto"/>
        <w:rPr>
          <w:rFonts w:cs="Arial" w:eastAsiaTheme="minorHAnsi"/>
          <w:szCs w:val="24"/>
          <w:lang w:eastAsia="en-US"/>
        </w:rPr>
      </w:pPr>
      <w:r>
        <w:rPr>
          <w:rFonts w:cs="Arial" w:eastAsiaTheme="minorHAnsi"/>
          <w:szCs w:val="24"/>
          <w:lang w:eastAsia="en-US"/>
        </w:rPr>
        <w:t>In the event of an emergency the staff may use our early years setting phone or in such circumstances where they may need to make or take a call using their own personal mobile they may wish to use the staff room/office.  Other staff must be notified to ensure suitable supervision levels are applied whilst the call is made.</w:t>
      </w:r>
    </w:p>
    <w:p>
      <w:pPr>
        <w:autoSpaceDE w:val="0"/>
        <w:autoSpaceDN w:val="0"/>
        <w:adjustRightInd w:val="0"/>
        <w:spacing w:after="0" w:line="240" w:lineRule="auto"/>
        <w:rPr>
          <w:rFonts w:cs="Arial" w:eastAsiaTheme="minorHAnsi"/>
          <w:szCs w:val="24"/>
          <w:lang w:eastAsia="en-US"/>
        </w:rPr>
      </w:pPr>
      <w:r>
        <w:rPr>
          <w:rFonts w:cs="Arial" w:eastAsiaTheme="minorHAnsi"/>
          <w:szCs w:val="24"/>
          <w:lang w:eastAsia="en-US"/>
        </w:rPr>
        <w:t>Written permission will be requested from parents to be able to take and use photographs of their children.</w:t>
      </w:r>
    </w:p>
    <w:p>
      <w:pPr>
        <w:autoSpaceDE w:val="0"/>
        <w:autoSpaceDN w:val="0"/>
        <w:adjustRightInd w:val="0"/>
        <w:spacing w:after="240" w:line="240" w:lineRule="auto"/>
        <w:rPr>
          <w:rFonts w:cs="Arial" w:eastAsiaTheme="minorHAnsi"/>
          <w:szCs w:val="24"/>
          <w:lang w:eastAsia="en-US"/>
        </w:rPr>
      </w:pPr>
      <w:r>
        <w:rPr>
          <w:rFonts w:cs="Arial" w:eastAsiaTheme="minorHAnsi"/>
          <w:szCs w:val="24"/>
          <w:lang w:eastAsia="en-US"/>
        </w:rPr>
        <w:t>All parents will be requested to provide written permission to allow their child to be photographed during an event/play by other parents.</w:t>
      </w:r>
    </w:p>
    <w:p>
      <w:pPr>
        <w:autoSpaceDE w:val="0"/>
        <w:autoSpaceDN w:val="0"/>
        <w:adjustRightInd w:val="0"/>
        <w:spacing w:after="240" w:line="240" w:lineRule="auto"/>
        <w:rPr>
          <w:rFonts w:cs="Arial"/>
          <w:b/>
          <w:sz w:val="22"/>
          <w:szCs w:val="22"/>
        </w:rPr>
      </w:pPr>
      <w:r>
        <w:rPr>
          <w:rFonts w:cs="Arial" w:eastAsiaTheme="minorHAnsi"/>
          <w:szCs w:val="24"/>
          <w:lang w:eastAsia="en-US"/>
        </w:rPr>
        <w:t>All photographs of the children will be taken on the setting camera for the purpose of children’s learning and development and will be stored securely on the computer</w:t>
      </w:r>
      <w:r>
        <w:rPr>
          <w:rFonts w:cs="Arial" w:eastAsiaTheme="minorHAnsi"/>
          <w:sz w:val="22"/>
          <w:szCs w:val="22"/>
          <w:lang w:eastAsia="en-US"/>
        </w:rPr>
        <w:t>.</w:t>
      </w:r>
    </w:p>
    <w:p>
      <w:pPr>
        <w:autoSpaceDE w:val="0"/>
        <w:autoSpaceDN w:val="0"/>
        <w:adjustRightInd w:val="0"/>
        <w:spacing w:after="240" w:line="240" w:lineRule="auto"/>
        <w:rPr>
          <w:color w:val="0000FF"/>
          <w:szCs w:val="24"/>
          <w:u w:val="single"/>
        </w:rPr>
      </w:pPr>
      <w:r>
        <w:rPr>
          <w:rFonts w:cs="Arial" w:eastAsiaTheme="minorHAnsi"/>
          <w:color w:val="000000"/>
          <w:szCs w:val="24"/>
          <w:lang w:eastAsia="en-US"/>
        </w:rPr>
        <w:t xml:space="preserve">We are registered with the </w:t>
      </w:r>
      <w:r>
        <w:fldChar w:fldCharType="begin"/>
      </w:r>
      <w:r>
        <w:instrText xml:space="preserve"> HYPERLINK "https://ico.org.uk/" </w:instrText>
      </w:r>
      <w:r>
        <w:fldChar w:fldCharType="separate"/>
      </w:r>
      <w:r>
        <w:rPr>
          <w:rStyle w:val="26"/>
          <w:rFonts w:cs="Arial" w:eastAsiaTheme="minorHAnsi"/>
          <w:szCs w:val="24"/>
          <w:lang w:eastAsia="en-US"/>
        </w:rPr>
        <w:t>Information Commissioner's Office</w:t>
      </w:r>
      <w:r>
        <w:rPr>
          <w:rStyle w:val="26"/>
          <w:rFonts w:cs="Arial" w:eastAsiaTheme="minorHAnsi"/>
          <w:szCs w:val="24"/>
          <w:lang w:eastAsia="en-US"/>
        </w:rPr>
        <w:fldChar w:fldCharType="end"/>
      </w:r>
      <w:r>
        <w:rPr>
          <w:rFonts w:cs="Arial" w:eastAsiaTheme="minorHAnsi"/>
          <w:color w:val="000000"/>
          <w:szCs w:val="24"/>
          <w:lang w:eastAsia="en-US"/>
        </w:rPr>
        <w:t xml:space="preserve"> (ICO) every year. Failure to notify the ICO is a criminal offence. Notification is necessary if early years settings are processing personal information. This includes taking photographs of the children using a digital camera. Further information on data protection as well as details on how to notify can be found in section 3.70 EYFS.</w:t>
      </w:r>
    </w:p>
    <w:p>
      <w:pPr>
        <w:spacing w:after="240" w:line="240" w:lineRule="auto"/>
        <w:rPr>
          <w:rFonts w:cs="Arial" w:eastAsiaTheme="minorHAnsi"/>
          <w:bCs/>
          <w:color w:val="000000"/>
          <w:szCs w:val="24"/>
          <w:lang w:eastAsia="en-US"/>
        </w:rPr>
      </w:pPr>
      <w:r>
        <w:rPr>
          <w:rFonts w:cs="Arial" w:eastAsiaTheme="minorHAnsi"/>
          <w:bCs/>
          <w:color w:val="000000"/>
          <w:szCs w:val="24"/>
          <w:lang w:eastAsia="en-US"/>
        </w:rPr>
        <w:t xml:space="preserve">Please note that although notification is mandatory in most cases, the data protection guidance within this document is 'recommended guidance' and settings must take individual responsibility for their own data protection issues in accordance with the General Data Protection Act 2018 </w:t>
      </w:r>
      <w:r>
        <w:rPr>
          <w:rFonts w:cs="Arial" w:eastAsiaTheme="minorHAnsi"/>
          <w:b/>
          <w:bCs/>
          <w:color w:val="000000"/>
          <w:szCs w:val="24"/>
          <w:lang w:eastAsia="en-US"/>
        </w:rPr>
        <w:t>(3.69 EYFS)</w:t>
      </w:r>
    </w:p>
    <w:p>
      <w:pPr>
        <w:pStyle w:val="14"/>
        <w:spacing w:after="240" w:line="240" w:lineRule="auto"/>
        <w:rPr>
          <w:rFonts w:ascii="Arial" w:hAnsi="Arial" w:cs="Arial"/>
          <w:szCs w:val="22"/>
        </w:rPr>
      </w:pPr>
      <w:r>
        <w:rPr>
          <w:rFonts w:ascii="Arial" w:hAnsi="Arial" w:cs="Arial"/>
          <w:szCs w:val="22"/>
        </w:rPr>
        <w:t xml:space="preserve">                                                </w:t>
      </w:r>
    </w:p>
    <w:p>
      <w:pPr>
        <w:pStyle w:val="3"/>
      </w:pPr>
      <w:r>
        <w:t xml:space="preserve">                                                            </w:t>
      </w:r>
      <w:bookmarkStart w:id="23" w:name="_Toc49500867"/>
      <w:r>
        <w:t>Appendices</w:t>
      </w:r>
      <w:bookmarkEnd w:id="23"/>
    </w:p>
    <w:p>
      <w:pPr>
        <w:pStyle w:val="14"/>
        <w:spacing w:after="240" w:line="240" w:lineRule="auto"/>
        <w:rPr>
          <w:rFonts w:ascii="Arial" w:hAnsi="Arial" w:cs="Arial"/>
          <w:szCs w:val="22"/>
        </w:rPr>
      </w:pPr>
    </w:p>
    <w:p>
      <w:pPr>
        <w:pStyle w:val="3"/>
      </w:pPr>
      <w:bookmarkStart w:id="24" w:name="_Toc49500868"/>
      <w:r>
        <w:t>Appendix 1 - Definitions and indicators of abuse</w:t>
      </w:r>
      <w:bookmarkEnd w:id="24"/>
      <w:r>
        <w:t xml:space="preserve">  </w:t>
      </w:r>
    </w:p>
    <w:p>
      <w:pPr>
        <w:rPr>
          <w:b/>
          <w:u w:val="single"/>
        </w:rPr>
      </w:pPr>
      <w:r>
        <w:rPr>
          <w:b/>
        </w:rPr>
        <w:t xml:space="preserve">Neglect </w:t>
      </w:r>
    </w:p>
    <w:p>
      <w:pPr>
        <w:spacing w:after="240" w:line="240" w:lineRule="auto"/>
        <w:rPr>
          <w:rFonts w:cs="Arial"/>
          <w:szCs w:val="24"/>
        </w:rPr>
      </w:pPr>
      <w:r>
        <w:rPr>
          <w:rFonts w:cs="Arial"/>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pPr>
        <w:numPr>
          <w:ilvl w:val="0"/>
          <w:numId w:val="22"/>
        </w:numPr>
        <w:spacing w:after="240" w:line="240" w:lineRule="auto"/>
        <w:ind w:left="643"/>
        <w:rPr>
          <w:rFonts w:cs="Arial"/>
          <w:szCs w:val="24"/>
        </w:rPr>
      </w:pPr>
      <w:r>
        <w:rPr>
          <w:rFonts w:cs="Arial"/>
          <w:szCs w:val="24"/>
        </w:rPr>
        <w:t xml:space="preserve">provide adequate food, clothing and shelter (including exclusion from home or abandonment) </w:t>
      </w:r>
    </w:p>
    <w:p>
      <w:pPr>
        <w:numPr>
          <w:ilvl w:val="0"/>
          <w:numId w:val="22"/>
        </w:numPr>
        <w:spacing w:after="240" w:line="240" w:lineRule="auto"/>
        <w:ind w:left="643"/>
        <w:rPr>
          <w:rFonts w:cs="Arial"/>
          <w:szCs w:val="24"/>
        </w:rPr>
      </w:pPr>
      <w:r>
        <w:rPr>
          <w:rFonts w:cs="Arial"/>
          <w:szCs w:val="24"/>
        </w:rPr>
        <w:t>protect a child from physical and emotional harm or danger</w:t>
      </w:r>
    </w:p>
    <w:p>
      <w:pPr>
        <w:numPr>
          <w:ilvl w:val="0"/>
          <w:numId w:val="22"/>
        </w:numPr>
        <w:spacing w:after="240" w:line="240" w:lineRule="auto"/>
        <w:ind w:left="643"/>
        <w:rPr>
          <w:rFonts w:cs="Arial"/>
          <w:szCs w:val="24"/>
        </w:rPr>
      </w:pPr>
      <w:r>
        <w:rPr>
          <w:rFonts w:cs="Arial"/>
          <w:szCs w:val="24"/>
        </w:rPr>
        <w:t xml:space="preserve">ensure adequate supervision (including the use of inadequate care-givers) </w:t>
      </w:r>
    </w:p>
    <w:p>
      <w:pPr>
        <w:numPr>
          <w:ilvl w:val="0"/>
          <w:numId w:val="22"/>
        </w:numPr>
        <w:spacing w:after="240" w:line="240" w:lineRule="auto"/>
        <w:ind w:left="643"/>
        <w:rPr>
          <w:rFonts w:cs="Arial"/>
          <w:szCs w:val="24"/>
        </w:rPr>
      </w:pPr>
      <w:r>
        <w:rPr>
          <w:rFonts w:cs="Arial"/>
          <w:szCs w:val="24"/>
        </w:rPr>
        <w:t>ensure access to appropriate medical care or treatment.</w:t>
      </w:r>
    </w:p>
    <w:p>
      <w:pPr>
        <w:spacing w:after="240" w:line="240" w:lineRule="auto"/>
        <w:rPr>
          <w:rFonts w:cs="Arial"/>
          <w:szCs w:val="24"/>
        </w:rPr>
      </w:pPr>
      <w:r>
        <w:rPr>
          <w:rFonts w:cs="Arial"/>
          <w:szCs w:val="24"/>
        </w:rPr>
        <w:t>It may also include neglect of, or unresponsiveness to, a child's basic emotional needs.</w:t>
      </w:r>
    </w:p>
    <w:p>
      <w:pPr>
        <w:tabs>
          <w:tab w:val="left" w:pos="0"/>
          <w:tab w:val="left" w:pos="10080"/>
          <w:tab w:val="left" w:pos="10800"/>
          <w:tab w:val="left" w:pos="11520"/>
          <w:tab w:val="left" w:pos="12240"/>
        </w:tabs>
        <w:spacing w:after="240" w:line="240" w:lineRule="auto"/>
        <w:rPr>
          <w:rFonts w:cs="Arial"/>
          <w:szCs w:val="24"/>
        </w:rPr>
      </w:pPr>
      <w:r>
        <w:rPr>
          <w:rFonts w:cs="Arial"/>
          <w:szCs w:val="24"/>
        </w:rPr>
        <w:t>The following may be indicators of neglect (this is not designed to be used as a checklist):</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constant hunger</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stealing, scavenging and/or hoarding food</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frequent tiredness or listlessness</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frequently dirty or unkempt</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often poorly or inappropriately clad for the weather</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poor school attendance or often late for school</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poor concentration</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affection or attention seeking behaviour</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illnesses or injuries that are left untreated</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failure to achieve developmental milestones, for example growth, weight</w:t>
      </w:r>
    </w:p>
    <w:p>
      <w:pPr>
        <w:numPr>
          <w:ilvl w:val="0"/>
          <w:numId w:val="23"/>
        </w:numPr>
        <w:tabs>
          <w:tab w:val="left" w:pos="0"/>
          <w:tab w:val="left" w:pos="10080"/>
          <w:tab w:val="left" w:pos="10800"/>
          <w:tab w:val="left" w:pos="11520"/>
          <w:tab w:val="left" w:pos="12240"/>
        </w:tabs>
        <w:spacing w:after="240" w:line="240" w:lineRule="auto"/>
        <w:ind w:left="643"/>
        <w:rPr>
          <w:rFonts w:cs="Arial"/>
          <w:szCs w:val="24"/>
        </w:rPr>
      </w:pPr>
      <w:r>
        <w:rPr>
          <w:rFonts w:cs="Arial"/>
          <w:szCs w:val="24"/>
        </w:rPr>
        <w:t>failure to develop intellectually or socially</w:t>
      </w:r>
    </w:p>
    <w:p>
      <w:pPr>
        <w:numPr>
          <w:ilvl w:val="0"/>
          <w:numId w:val="23"/>
        </w:numPr>
        <w:autoSpaceDE w:val="0"/>
        <w:autoSpaceDN w:val="0"/>
        <w:adjustRightInd w:val="0"/>
        <w:spacing w:after="240" w:line="240" w:lineRule="auto"/>
        <w:ind w:left="643"/>
        <w:rPr>
          <w:rFonts w:cs="Arial"/>
          <w:szCs w:val="24"/>
        </w:rPr>
      </w:pPr>
      <w:r>
        <w:rPr>
          <w:rFonts w:cs="Arial"/>
          <w:szCs w:val="24"/>
        </w:rPr>
        <w:t>responsibility for activity that is not age appropriate such as cooking, ironing, caring for siblings</w:t>
      </w:r>
    </w:p>
    <w:p>
      <w:pPr>
        <w:numPr>
          <w:ilvl w:val="0"/>
          <w:numId w:val="23"/>
        </w:numPr>
        <w:autoSpaceDE w:val="0"/>
        <w:autoSpaceDN w:val="0"/>
        <w:adjustRightInd w:val="0"/>
        <w:spacing w:after="240" w:line="240" w:lineRule="auto"/>
        <w:ind w:left="643"/>
        <w:rPr>
          <w:rFonts w:cs="Arial"/>
          <w:szCs w:val="24"/>
        </w:rPr>
      </w:pPr>
      <w:r>
        <w:rPr>
          <w:rFonts w:cs="Arial"/>
          <w:szCs w:val="24"/>
        </w:rPr>
        <w:t>the child is regularly not collected or received from school</w:t>
      </w:r>
    </w:p>
    <w:p>
      <w:pPr>
        <w:numPr>
          <w:ilvl w:val="0"/>
          <w:numId w:val="23"/>
        </w:numPr>
        <w:autoSpaceDE w:val="0"/>
        <w:autoSpaceDN w:val="0"/>
        <w:adjustRightInd w:val="0"/>
        <w:spacing w:after="240" w:line="240" w:lineRule="auto"/>
        <w:ind w:left="643"/>
        <w:rPr>
          <w:rFonts w:cs="Arial"/>
          <w:szCs w:val="24"/>
        </w:rPr>
      </w:pPr>
      <w:r>
        <w:rPr>
          <w:rFonts w:cs="Arial"/>
          <w:szCs w:val="24"/>
        </w:rPr>
        <w:t>the child is left at home alone or with inappropriate carers</w:t>
      </w:r>
    </w:p>
    <w:p>
      <w:pPr>
        <w:rPr>
          <w:b/>
        </w:rPr>
      </w:pPr>
      <w:r>
        <w:rPr>
          <w:b/>
        </w:rPr>
        <w:t>Physical abuse</w:t>
      </w:r>
    </w:p>
    <w:p>
      <w:pPr>
        <w:spacing w:after="240" w:line="240" w:lineRule="auto"/>
        <w:rPr>
          <w:rFonts w:cs="Arial"/>
          <w:bCs/>
          <w:sz w:val="22"/>
          <w:szCs w:val="22"/>
        </w:rPr>
      </w:pPr>
      <w:r>
        <w:rPr>
          <w:rFonts w:cs="Arial"/>
          <w:bCs/>
          <w:szCs w:val="24"/>
          <w:lang w:val="en-US"/>
        </w:rPr>
        <w:t xml:space="preserve">Physical abuse </w:t>
      </w:r>
      <w:r>
        <w:rPr>
          <w:rFonts w:cs="Arial"/>
          <w:bCs/>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r>
        <w:rPr>
          <w:rFonts w:cs="Arial"/>
          <w:bCs/>
          <w:sz w:val="22"/>
          <w:szCs w:val="22"/>
        </w:rPr>
        <w:t>.</w:t>
      </w:r>
    </w:p>
    <w:p>
      <w:pPr>
        <w:tabs>
          <w:tab w:val="left" w:pos="0"/>
          <w:tab w:val="left" w:pos="10080"/>
          <w:tab w:val="left" w:pos="10800"/>
          <w:tab w:val="left" w:pos="11520"/>
          <w:tab w:val="left" w:pos="12240"/>
        </w:tabs>
        <w:spacing w:after="240" w:line="240" w:lineRule="auto"/>
        <w:rPr>
          <w:rFonts w:cs="Arial"/>
          <w:szCs w:val="24"/>
        </w:rPr>
      </w:pPr>
      <w:r>
        <w:rPr>
          <w:rFonts w:cs="Arial"/>
          <w:szCs w:val="24"/>
        </w:rPr>
        <w:t>The following may be indicators of physical abuse (this is not designed to be used as a checklist):</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multiple bruises in clusters, or of uniform shape</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bruises that carry an imprint, such as a hand or a belt</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bite marks</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round burn marks</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multiple burn marks and burns on unusual areas of the body such as the back, shoulders or buttocks</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an injury that is not consistent with the account given</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changing or different accounts of how an injury occurred</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bald patches</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symptoms of drug or alcohol intoxication or poisoning</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unaccountable covering of limbs, even in hot weather</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fear of going home or parents being contacted</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fear of medical help</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fear of changing for PE</w:t>
      </w:r>
    </w:p>
    <w:p>
      <w:pPr>
        <w:numPr>
          <w:ilvl w:val="0"/>
          <w:numId w:val="24"/>
        </w:numPr>
        <w:tabs>
          <w:tab w:val="left" w:pos="0"/>
          <w:tab w:val="left" w:pos="10080"/>
          <w:tab w:val="left" w:pos="10800"/>
          <w:tab w:val="left" w:pos="11520"/>
          <w:tab w:val="left" w:pos="12240"/>
        </w:tabs>
        <w:spacing w:after="240"/>
        <w:ind w:left="283"/>
        <w:rPr>
          <w:rFonts w:cs="Arial"/>
          <w:szCs w:val="24"/>
        </w:rPr>
      </w:pPr>
      <w:r>
        <w:rPr>
          <w:rFonts w:cs="Arial"/>
          <w:szCs w:val="24"/>
        </w:rPr>
        <w:t>inexplicable fear of adults or over-compliance</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violence or aggression towards others including bullying; or</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sz w:val="24"/>
          <w:szCs w:val="24"/>
        </w:rPr>
      </w:pPr>
      <w:r>
        <w:rPr>
          <w:rFonts w:cs="Arial"/>
          <w:b w:val="0"/>
          <w:sz w:val="24"/>
          <w:szCs w:val="24"/>
        </w:rPr>
        <w:t>isolation from peers</w:t>
      </w:r>
    </w:p>
    <w:p>
      <w:pPr>
        <w:rPr>
          <w:b/>
          <w:sz w:val="22"/>
          <w:szCs w:val="22"/>
        </w:rPr>
      </w:pPr>
      <w:r>
        <w:rPr>
          <w:b/>
        </w:rPr>
        <w:t>Sexual Abuse</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rPr>
      </w:pPr>
      <w:r>
        <w:rPr>
          <w:rFonts w:cs="Arial"/>
          <w:b w:val="0"/>
          <w:sz w:val="24"/>
          <w:szCs w:val="24"/>
        </w:rPr>
        <w:t xml:space="preserve">Sexual abuse involves forcing or enticing a child or young person to take part in sexual activities, </w:t>
      </w:r>
      <w:r>
        <w:rPr>
          <w:rFonts w:cs="Arial"/>
          <w:b w:val="0"/>
          <w:iCs/>
          <w:sz w:val="24"/>
          <w:szCs w:val="24"/>
        </w:rPr>
        <w:t>not necessarily involving a high level of violence,</w:t>
      </w:r>
      <w:r>
        <w:rPr>
          <w:rFonts w:cs="Arial"/>
          <w:b w:val="0"/>
          <w:sz w:val="24"/>
          <w:szCs w:val="24"/>
        </w:rPr>
        <w:t xml:space="preserve"> whether or not the child is aware of what is happening.  The activities may involve physical contact, including assault by penetration (for example, rape or oral sex) or </w:t>
      </w:r>
      <w:r>
        <w:rPr>
          <w:rFonts w:cs="Arial"/>
          <w:b w:val="0"/>
          <w:iCs/>
          <w:sz w:val="24"/>
          <w:szCs w:val="24"/>
        </w:rPr>
        <w:t>non-penetrative acts such as masturbation, kissing, rubbing and touching outside of clothing</w:t>
      </w:r>
      <w:r>
        <w:rPr>
          <w:rFonts w:cs="Arial"/>
          <w:b w:val="0"/>
          <w:i/>
          <w:sz w:val="24"/>
          <w:szCs w:val="24"/>
        </w:rPr>
        <w:t xml:space="preserve">.  </w:t>
      </w:r>
      <w:r>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Pr>
          <w:rFonts w:cs="Arial"/>
          <w:b w:val="0"/>
          <w:iCs/>
          <w:sz w:val="24"/>
          <w:szCs w:val="24"/>
        </w:rPr>
        <w:t>or grooming a child in preparation for abuse (including via the internet).  Sexual abuse is not solely perpetrated by adult males.  Women can also commit act of sexual abuse, as can other children.</w:t>
      </w:r>
    </w:p>
    <w:p>
      <w:pPr>
        <w:tabs>
          <w:tab w:val="left" w:pos="0"/>
          <w:tab w:val="left" w:pos="10080"/>
          <w:tab w:val="left" w:pos="10800"/>
          <w:tab w:val="left" w:pos="11520"/>
          <w:tab w:val="left" w:pos="12240"/>
        </w:tabs>
        <w:spacing w:after="240"/>
        <w:rPr>
          <w:rFonts w:cs="Arial"/>
          <w:szCs w:val="24"/>
        </w:rPr>
      </w:pPr>
      <w:r>
        <w:rPr>
          <w:rFonts w:cs="Arial"/>
          <w:szCs w:val="24"/>
        </w:rPr>
        <w:t>The following may be indicators of sexual abuse (this is not designed to be used as a checklist):</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sexually explicit play or behaviour or age-inappropriate knowledge</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anal or vaginal discharge, soreness or scratching</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reluctance to go home</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inability to concentrate, tiredness</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refusal to communicate</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thrush, persistent complaints of stomach disorders or pains</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eating disorders, for example anorexia nervosa and bulimia</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attention seeking behaviour, self-mutilation, substance abuse</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aggressive behaviour including sexual harassment or molestation</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unusual compliance</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regressive behaviour, enuresis, soiling</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frequent or open masturbation, touching others inappropriately</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depression, withdrawal, isolation from peer group</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reluctance to undress for PE or swimming; or</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bruises or scratches in the genital area</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p>
    <w:p>
      <w:pPr>
        <w:rPr>
          <w:b/>
        </w:rPr>
      </w:pPr>
      <w:r>
        <w:rPr>
          <w:b/>
        </w:rPr>
        <w:t>Sexual exploitation</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u w:val="single"/>
        </w:rPr>
      </w:pPr>
      <w:r>
        <w:rPr>
          <w:rFonts w:cs="Arial"/>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rPr>
      </w:pPr>
      <w:r>
        <w:rPr>
          <w:rFonts w:cs="Arial"/>
          <w:b w:val="0"/>
          <w:sz w:val="24"/>
          <w:szCs w:val="24"/>
        </w:rPr>
        <w:t xml:space="preserve">The presence of any significant indicator for sexual exploitation should trigger a referral to children’s social care.  The significant indicators are: </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lang w:eastAsia="en-US"/>
        </w:rPr>
      </w:pPr>
      <w:r>
        <w:rPr>
          <w:rFonts w:cs="Arial"/>
          <w:b w:val="0"/>
          <w:sz w:val="24"/>
          <w:szCs w:val="24"/>
          <w:lang w:eastAsia="en-US"/>
        </w:rPr>
        <w:t>having a relationship of concern with a controlling adult or young person (this may involve physical and/or emotional abuse and/or gang activity)</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lang w:eastAsia="en-US"/>
        </w:rPr>
      </w:pPr>
      <w:r>
        <w:rPr>
          <w:rFonts w:cs="Arial"/>
          <w:b w:val="0"/>
          <w:sz w:val="24"/>
          <w:szCs w:val="24"/>
          <w:lang w:eastAsia="en-US"/>
        </w:rPr>
        <w:t xml:space="preserve">entering </w:t>
      </w:r>
      <w:r>
        <w:rPr>
          <w:rFonts w:cs="Arial"/>
          <w:b w:val="0"/>
          <w:sz w:val="24"/>
          <w:szCs w:val="24"/>
        </w:rPr>
        <w:t>and</w:t>
      </w:r>
      <w:r>
        <w:rPr>
          <w:rFonts w:cs="Arial"/>
          <w:b w:val="0"/>
          <w:sz w:val="24"/>
          <w:szCs w:val="24"/>
          <w:lang w:eastAsia="en-US"/>
        </w:rPr>
        <w:t>/or leaving vehicles driven by unknown adult</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lang w:eastAsia="en-US"/>
        </w:rPr>
      </w:pPr>
      <w:r>
        <w:rPr>
          <w:rFonts w:cs="Arial"/>
          <w:b w:val="0"/>
          <w:sz w:val="24"/>
          <w:szCs w:val="24"/>
        </w:rPr>
        <w:t>possessing</w:t>
      </w:r>
      <w:r>
        <w:rPr>
          <w:rFonts w:cs="Arial"/>
          <w:b w:val="0"/>
          <w:sz w:val="24"/>
          <w:szCs w:val="24"/>
          <w:lang w:eastAsia="en-US"/>
        </w:rPr>
        <w:t xml:space="preserve"> unexplained amounts of money, expensive clothes or other items</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lang w:eastAsia="en-US"/>
        </w:rPr>
      </w:pPr>
      <w:r>
        <w:rPr>
          <w:rFonts w:cs="Arial"/>
          <w:b w:val="0"/>
          <w:sz w:val="24"/>
          <w:szCs w:val="24"/>
        </w:rPr>
        <w:t>frequenting</w:t>
      </w:r>
      <w:r>
        <w:rPr>
          <w:rFonts w:cs="Arial"/>
          <w:b w:val="0"/>
          <w:sz w:val="24"/>
          <w:szCs w:val="24"/>
          <w:lang w:eastAsia="en-US"/>
        </w:rPr>
        <w:t xml:space="preserve"> areas known for risky activities</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lang w:eastAsia="en-US"/>
        </w:rPr>
      </w:pPr>
      <w:r>
        <w:rPr>
          <w:rFonts w:cs="Arial"/>
          <w:b w:val="0"/>
          <w:sz w:val="24"/>
          <w:szCs w:val="24"/>
          <w:lang w:eastAsia="en-US"/>
        </w:rPr>
        <w:t xml:space="preserve">being </w:t>
      </w:r>
      <w:r>
        <w:rPr>
          <w:rFonts w:cs="Arial"/>
          <w:b w:val="0"/>
          <w:sz w:val="24"/>
          <w:szCs w:val="24"/>
        </w:rPr>
        <w:t>groomed</w:t>
      </w:r>
      <w:r>
        <w:rPr>
          <w:rFonts w:cs="Arial"/>
          <w:b w:val="0"/>
          <w:sz w:val="24"/>
          <w:szCs w:val="24"/>
          <w:lang w:eastAsia="en-US"/>
        </w:rPr>
        <w:t xml:space="preserve"> or abused via the Internet and mobile technology; and</w:t>
      </w:r>
    </w:p>
    <w:p>
      <w:pPr>
        <w:pStyle w:val="13"/>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lang w:eastAsia="en-US"/>
        </w:rPr>
      </w:pPr>
      <w:r>
        <w:rPr>
          <w:rFonts w:cs="Arial"/>
          <w:b w:val="0"/>
          <w:sz w:val="24"/>
          <w:szCs w:val="24"/>
        </w:rPr>
        <w:t>having</w:t>
      </w:r>
      <w:r>
        <w:rPr>
          <w:rFonts w:cs="Arial"/>
          <w:b w:val="0"/>
          <w:sz w:val="24"/>
          <w:szCs w:val="24"/>
          <w:lang w:eastAsia="en-US"/>
        </w:rPr>
        <w:t xml:space="preserve"> unexplained contact with hotels, taxi companies or fast food outlets</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r>
        <w:rPr>
          <w:rFonts w:cs="Arial"/>
          <w:b w:val="0"/>
          <w:sz w:val="24"/>
          <w:szCs w:val="24"/>
        </w:rPr>
        <w:t>The intelligence reporting form on the LSCB website will be used to share information with Police and children’s social care that raises a concern around CSE</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p>
    <w:p>
      <w:pPr>
        <w:rPr>
          <w:b/>
        </w:rPr>
      </w:pPr>
      <w:r>
        <w:rPr>
          <w:b/>
        </w:rPr>
        <w:t>Emotional abuse</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rPr>
      </w:pPr>
      <w:r>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Pr>
          <w:rFonts w:cs="Arial"/>
          <w:b w:val="0"/>
          <w:iCs/>
          <w:sz w:val="24"/>
          <w:szCs w:val="24"/>
        </w:rPr>
        <w:t>It may include not giving the child opportunities to express their views, deliberately silencing them or 'making fun' of what they say or how they communicate.</w:t>
      </w:r>
      <w:r>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Pr>
          <w:rFonts w:cs="Arial"/>
          <w:b w:val="0"/>
          <w:i/>
          <w:sz w:val="24"/>
          <w:szCs w:val="24"/>
        </w:rPr>
        <w:t>,</w:t>
      </w:r>
      <w:r>
        <w:rPr>
          <w:rFonts w:cs="Arial"/>
          <w:b w:val="0"/>
          <w:sz w:val="24"/>
          <w:szCs w:val="24"/>
        </w:rPr>
        <w:t xml:space="preserve"> causing children frequently to feel frightened or in danger, or the exploitation or corruption of children.  Some level of emotional abuse is involved in all types of maltreatment </w:t>
      </w:r>
    </w:p>
    <w:p>
      <w:pPr>
        <w:tabs>
          <w:tab w:val="left" w:pos="0"/>
          <w:tab w:val="left" w:pos="10080"/>
          <w:tab w:val="left" w:pos="10800"/>
          <w:tab w:val="left" w:pos="11520"/>
          <w:tab w:val="left" w:pos="12240"/>
        </w:tabs>
        <w:spacing w:after="240"/>
        <w:rPr>
          <w:rFonts w:cs="Arial"/>
          <w:szCs w:val="24"/>
        </w:rPr>
      </w:pPr>
      <w:r>
        <w:rPr>
          <w:rFonts w:cs="Arial"/>
          <w:szCs w:val="24"/>
        </w:rPr>
        <w:t>The following may be indicators of emotional abuse (this is not designed to be used as a checklist):</w:t>
      </w:r>
    </w:p>
    <w:p>
      <w:pPr>
        <w:numPr>
          <w:ilvl w:val="0"/>
          <w:numId w:val="25"/>
        </w:numPr>
        <w:tabs>
          <w:tab w:val="left" w:pos="0"/>
          <w:tab w:val="left" w:pos="10080"/>
          <w:tab w:val="left" w:pos="10800"/>
          <w:tab w:val="left" w:pos="11520"/>
          <w:tab w:val="left" w:pos="12240"/>
        </w:tabs>
        <w:spacing w:after="240"/>
        <w:ind w:left="643"/>
        <w:rPr>
          <w:rFonts w:cs="Arial"/>
          <w:szCs w:val="24"/>
        </w:rPr>
      </w:pPr>
      <w:r>
        <w:rPr>
          <w:rFonts w:cs="Arial"/>
          <w:szCs w:val="24"/>
        </w:rPr>
        <w:t>the child consistently describes him/herself in very negative ways – as stupid, naughty, hopeless, ugly</w:t>
      </w:r>
    </w:p>
    <w:p>
      <w:pPr>
        <w:numPr>
          <w:ilvl w:val="0"/>
          <w:numId w:val="25"/>
        </w:numPr>
        <w:tabs>
          <w:tab w:val="left" w:pos="0"/>
          <w:tab w:val="left" w:pos="10080"/>
          <w:tab w:val="left" w:pos="10800"/>
          <w:tab w:val="left" w:pos="11520"/>
          <w:tab w:val="left" w:pos="12240"/>
        </w:tabs>
        <w:spacing w:after="240"/>
        <w:ind w:left="643"/>
        <w:rPr>
          <w:rFonts w:cs="Arial"/>
          <w:szCs w:val="24"/>
        </w:rPr>
      </w:pPr>
      <w:r>
        <w:rPr>
          <w:rFonts w:cs="Arial"/>
          <w:szCs w:val="24"/>
        </w:rPr>
        <w:t>over-reaction to mistakes</w:t>
      </w:r>
    </w:p>
    <w:p>
      <w:pPr>
        <w:numPr>
          <w:ilvl w:val="0"/>
          <w:numId w:val="25"/>
        </w:numPr>
        <w:tabs>
          <w:tab w:val="left" w:pos="0"/>
          <w:tab w:val="left" w:pos="10080"/>
          <w:tab w:val="left" w:pos="10800"/>
          <w:tab w:val="left" w:pos="11520"/>
          <w:tab w:val="left" w:pos="12240"/>
        </w:tabs>
        <w:spacing w:after="240"/>
        <w:ind w:left="643"/>
        <w:rPr>
          <w:rFonts w:cs="Arial"/>
          <w:szCs w:val="24"/>
        </w:rPr>
      </w:pPr>
      <w:r>
        <w:rPr>
          <w:rFonts w:cs="Arial"/>
          <w:szCs w:val="24"/>
        </w:rPr>
        <w:t>delayed physical, mental or emotional development</w:t>
      </w:r>
    </w:p>
    <w:p>
      <w:pPr>
        <w:numPr>
          <w:ilvl w:val="0"/>
          <w:numId w:val="25"/>
        </w:numPr>
        <w:tabs>
          <w:tab w:val="left" w:pos="0"/>
          <w:tab w:val="left" w:pos="10080"/>
          <w:tab w:val="left" w:pos="10800"/>
          <w:tab w:val="left" w:pos="11520"/>
          <w:tab w:val="left" w:pos="12240"/>
        </w:tabs>
        <w:spacing w:after="240"/>
        <w:ind w:left="643"/>
        <w:rPr>
          <w:rFonts w:cs="Arial"/>
          <w:szCs w:val="24"/>
        </w:rPr>
      </w:pPr>
      <w:r>
        <w:rPr>
          <w:rFonts w:cs="Arial"/>
          <w:szCs w:val="24"/>
        </w:rPr>
        <w:t>sudden speech or sensory disorders</w:t>
      </w:r>
    </w:p>
    <w:p>
      <w:pPr>
        <w:numPr>
          <w:ilvl w:val="0"/>
          <w:numId w:val="25"/>
        </w:numPr>
        <w:tabs>
          <w:tab w:val="left" w:pos="0"/>
          <w:tab w:val="left" w:pos="10080"/>
          <w:tab w:val="left" w:pos="10800"/>
          <w:tab w:val="left" w:pos="11520"/>
          <w:tab w:val="left" w:pos="12240"/>
        </w:tabs>
        <w:spacing w:after="240"/>
        <w:ind w:left="643"/>
        <w:rPr>
          <w:rFonts w:cs="Arial"/>
          <w:szCs w:val="24"/>
        </w:rPr>
      </w:pPr>
      <w:r>
        <w:rPr>
          <w:rFonts w:cs="Arial"/>
          <w:szCs w:val="24"/>
        </w:rPr>
        <w:t>inappropriate emotional responses, fantasies</w:t>
      </w:r>
    </w:p>
    <w:p>
      <w:pPr>
        <w:numPr>
          <w:ilvl w:val="0"/>
          <w:numId w:val="25"/>
        </w:numPr>
        <w:tabs>
          <w:tab w:val="left" w:pos="0"/>
          <w:tab w:val="left" w:pos="10080"/>
          <w:tab w:val="left" w:pos="10800"/>
          <w:tab w:val="left" w:pos="11520"/>
          <w:tab w:val="left" w:pos="12240"/>
        </w:tabs>
        <w:spacing w:after="240"/>
        <w:ind w:left="643"/>
        <w:rPr>
          <w:rFonts w:cs="Arial"/>
          <w:szCs w:val="24"/>
        </w:rPr>
      </w:pPr>
      <w:r>
        <w:rPr>
          <w:rFonts w:cs="Arial"/>
          <w:szCs w:val="24"/>
        </w:rPr>
        <w:t>behaviours such as rocking, banging head, regression, tics and twitches</w:t>
      </w:r>
    </w:p>
    <w:p>
      <w:pPr>
        <w:pStyle w:val="62"/>
        <w:numPr>
          <w:ilvl w:val="0"/>
          <w:numId w:val="25"/>
        </w:numPr>
        <w:ind w:left="643"/>
      </w:pPr>
      <w:r>
        <w:t>self harming, drug or solvent abuse</w:t>
      </w:r>
    </w:p>
    <w:p>
      <w:pPr>
        <w:pStyle w:val="62"/>
        <w:numPr>
          <w:ilvl w:val="0"/>
          <w:numId w:val="25"/>
        </w:numPr>
        <w:ind w:left="643"/>
        <w:rPr>
          <w:b/>
        </w:rPr>
      </w:pPr>
      <w:r>
        <w:t>fear of parents being contacted</w:t>
      </w:r>
    </w:p>
    <w:p>
      <w:pPr>
        <w:pStyle w:val="62"/>
        <w:numPr>
          <w:ilvl w:val="0"/>
          <w:numId w:val="25"/>
        </w:numPr>
        <w:ind w:left="643"/>
      </w:pPr>
      <w:r>
        <w:t>running away</w:t>
      </w:r>
    </w:p>
    <w:p>
      <w:pPr>
        <w:pStyle w:val="62"/>
        <w:numPr>
          <w:ilvl w:val="0"/>
          <w:numId w:val="25"/>
        </w:numPr>
        <w:ind w:left="643"/>
      </w:pPr>
      <w:r>
        <w:t>compulsive stealing</w:t>
      </w:r>
    </w:p>
    <w:p>
      <w:pPr>
        <w:pStyle w:val="62"/>
        <w:numPr>
          <w:ilvl w:val="0"/>
          <w:numId w:val="25"/>
        </w:numPr>
        <w:ind w:left="643"/>
      </w:pPr>
      <w:r>
        <w:t>appetite disorders - anorexia nervosa, bulimia; or</w:t>
      </w:r>
    </w:p>
    <w:p>
      <w:pPr>
        <w:pStyle w:val="62"/>
        <w:numPr>
          <w:ilvl w:val="0"/>
          <w:numId w:val="25"/>
        </w:numPr>
        <w:ind w:left="643"/>
      </w:pPr>
      <w:r>
        <w:t>soiling, smearing faeces, enuresis</w:t>
      </w:r>
    </w:p>
    <w:p>
      <w:pPr>
        <w:spacing w:after="240"/>
      </w:pPr>
      <w:r>
        <w:rPr>
          <w:rFonts w:cs="Arial"/>
          <w:szCs w:val="24"/>
        </w:rPr>
        <w:t>N.B.: Some situations where children stop communication suddenly (known as “traumatic mutism”) can indicate maltreatment.</w:t>
      </w:r>
    </w:p>
    <w:p>
      <w:pPr>
        <w:rPr>
          <w:b/>
        </w:rPr>
      </w:pPr>
      <w:r>
        <w:rPr>
          <w:b/>
        </w:rPr>
        <w:t>Responses from parents</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rPr>
      </w:pPr>
      <w:r>
        <w:rPr>
          <w:rFonts w:cs="Arial"/>
          <w:b w:val="0"/>
          <w:sz w:val="24"/>
          <w:szCs w:val="24"/>
        </w:rPr>
        <w:t>Research and experience indicates that the following responses from parents may suggest a cause for concern across all four categories:</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delay in seeking treatment that is obviously needed</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unawareness or denial of any injury, pain or loss of function (for example, a fractured limb)</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incompatible explanations offered, several different explanations or the child is said to have acted in a way that is inappropriate to her/his age and development</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reluctance to give information or failure to mention other known relevant injuries</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frequent presentation of minor injuries</w:t>
      </w:r>
    </w:p>
    <w:p>
      <w:pPr>
        <w:numPr>
          <w:ilvl w:val="0"/>
          <w:numId w:val="26"/>
        </w:numPr>
        <w:tabs>
          <w:tab w:val="left" w:pos="0"/>
          <w:tab w:val="left" w:pos="10080"/>
          <w:tab w:val="left" w:pos="10800"/>
          <w:tab w:val="left" w:pos="11520"/>
          <w:tab w:val="left" w:pos="12240"/>
        </w:tabs>
        <w:spacing w:after="240"/>
        <w:ind w:left="283"/>
        <w:rPr>
          <w:rFonts w:cs="Arial"/>
          <w:szCs w:val="24"/>
        </w:rPr>
      </w:pPr>
      <w:r>
        <w:rPr>
          <w:rFonts w:cs="Arial"/>
          <w:szCs w:val="24"/>
        </w:rPr>
        <w:t>a persistently negative attitude towards the child</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unrealistic expectations or constant complaints about the child</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alcohol misuse or other drug/substance misuse</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283"/>
        <w:jc w:val="left"/>
        <w:rPr>
          <w:rFonts w:cs="Arial"/>
          <w:b w:val="0"/>
          <w:sz w:val="24"/>
          <w:szCs w:val="24"/>
        </w:rPr>
      </w:pPr>
      <w:r>
        <w:rPr>
          <w:rFonts w:cs="Arial"/>
          <w:b w:val="0"/>
          <w:sz w:val="24"/>
          <w:szCs w:val="24"/>
        </w:rPr>
        <w:t>parents request removal of the child from home; or</w:t>
      </w:r>
    </w:p>
    <w:p>
      <w:pPr>
        <w:pStyle w:val="13"/>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2"/>
          <w:szCs w:val="22"/>
        </w:rPr>
      </w:pPr>
      <w:r>
        <w:rPr>
          <w:rFonts w:cs="Arial"/>
          <w:b w:val="0"/>
          <w:sz w:val="24"/>
          <w:szCs w:val="24"/>
        </w:rPr>
        <w:t>violence between adults in the household</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ind w:left="283"/>
        <w:jc w:val="left"/>
        <w:rPr>
          <w:rFonts w:cs="Arial"/>
          <w:b w:val="0"/>
          <w:sz w:val="22"/>
          <w:szCs w:val="22"/>
        </w:rPr>
      </w:pPr>
    </w:p>
    <w:p>
      <w:pPr>
        <w:rPr>
          <w:b/>
        </w:rPr>
      </w:pPr>
      <w:r>
        <w:t xml:space="preserve"> </w:t>
      </w:r>
      <w:r>
        <w:rPr>
          <w:b/>
        </w:rPr>
        <w:t>Disabled children</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rPr>
      </w:pPr>
      <w:r>
        <w:rPr>
          <w:rFonts w:cs="Arial"/>
          <w:b w:val="0"/>
          <w:sz w:val="24"/>
          <w:szCs w:val="24"/>
        </w:rPr>
        <w:t>When working with children with disabilities, practitioners need to be aware those additional vulnerabilities to abuse and neglect such as:</w:t>
      </w:r>
    </w:p>
    <w:p>
      <w:pPr>
        <w:pStyle w:val="1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assumptions that indicators of possible abuse such as behaviour, mood and injury relate to the child’s disability without further exploration</w:t>
      </w:r>
    </w:p>
    <w:p>
      <w:pPr>
        <w:pStyle w:val="1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children with SEN and disabilities can be disproportionately impacted by things like bullying without outwardly showing any signs</w:t>
      </w:r>
    </w:p>
    <w:p>
      <w:pPr>
        <w:pStyle w:val="1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communication barriers and difficulties in overcoming these barriers</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left"/>
        <w:rPr>
          <w:rFonts w:cs="Arial"/>
          <w:b w:val="0"/>
          <w:sz w:val="24"/>
          <w:szCs w:val="24"/>
        </w:rPr>
      </w:pPr>
      <w:r>
        <w:rPr>
          <w:rFonts w:cs="Arial"/>
          <w:b w:val="0"/>
          <w:sz w:val="24"/>
          <w:szCs w:val="24"/>
        </w:rPr>
        <w:t xml:space="preserve"> P</w:t>
      </w:r>
      <w:r>
        <w:rPr>
          <w:rFonts w:cs="Arial"/>
          <w:b w:val="0"/>
          <w:bCs/>
          <w:sz w:val="24"/>
          <w:szCs w:val="24"/>
        </w:rPr>
        <w:t>ossible indicators of</w:t>
      </w:r>
      <w:r>
        <w:rPr>
          <w:rFonts w:cs="Arial"/>
          <w:b w:val="0"/>
          <w:sz w:val="24"/>
          <w:szCs w:val="24"/>
        </w:rPr>
        <w:t xml:space="preserve"> </w:t>
      </w:r>
      <w:r>
        <w:rPr>
          <w:rFonts w:cs="Arial"/>
          <w:b w:val="0"/>
          <w:bCs/>
          <w:sz w:val="24"/>
          <w:szCs w:val="24"/>
        </w:rPr>
        <w:t xml:space="preserve">abuse </w:t>
      </w:r>
      <w:r>
        <w:rPr>
          <w:rFonts w:cs="Arial"/>
          <w:b w:val="0"/>
          <w:sz w:val="24"/>
          <w:szCs w:val="24"/>
        </w:rPr>
        <w:t>and/or neglect may also include:</w:t>
      </w:r>
    </w:p>
    <w:p>
      <w:pPr>
        <w:numPr>
          <w:ilvl w:val="0"/>
          <w:numId w:val="28"/>
        </w:numPr>
        <w:autoSpaceDE w:val="0"/>
        <w:autoSpaceDN w:val="0"/>
        <w:adjustRightInd w:val="0"/>
        <w:spacing w:after="240"/>
        <w:ind w:left="643"/>
        <w:rPr>
          <w:rFonts w:cs="Arial"/>
          <w:szCs w:val="24"/>
        </w:rPr>
      </w:pPr>
      <w:r>
        <w:rPr>
          <w:rFonts w:cs="Arial"/>
          <w:szCs w:val="24"/>
        </w:rPr>
        <w:t>a bruise in a site that might not be of concern on an ambulant child such as the shin, might be of concern on a non-mobile child</w:t>
      </w:r>
    </w:p>
    <w:p>
      <w:pPr>
        <w:numPr>
          <w:ilvl w:val="0"/>
          <w:numId w:val="28"/>
        </w:numPr>
        <w:autoSpaceDE w:val="0"/>
        <w:autoSpaceDN w:val="0"/>
        <w:adjustRightInd w:val="0"/>
        <w:spacing w:after="240"/>
        <w:ind w:left="643"/>
        <w:rPr>
          <w:rFonts w:cs="Arial"/>
          <w:szCs w:val="24"/>
        </w:rPr>
      </w:pPr>
      <w:r>
        <w:rPr>
          <w:rFonts w:cs="Arial"/>
          <w:szCs w:val="24"/>
        </w:rPr>
        <w:t>not getting enough help with feeding leading to malnourishment</w:t>
      </w:r>
    </w:p>
    <w:p>
      <w:pPr>
        <w:numPr>
          <w:ilvl w:val="0"/>
          <w:numId w:val="28"/>
        </w:numPr>
        <w:autoSpaceDE w:val="0"/>
        <w:autoSpaceDN w:val="0"/>
        <w:adjustRightInd w:val="0"/>
        <w:spacing w:after="240"/>
        <w:ind w:left="643"/>
        <w:rPr>
          <w:rFonts w:cs="Arial"/>
          <w:szCs w:val="24"/>
        </w:rPr>
      </w:pPr>
      <w:r>
        <w:rPr>
          <w:rFonts w:cs="Arial"/>
          <w:szCs w:val="24"/>
        </w:rPr>
        <w:t>poor toileting</w:t>
      </w:r>
    </w:p>
    <w:p>
      <w:pPr>
        <w:numPr>
          <w:ilvl w:val="0"/>
          <w:numId w:val="28"/>
        </w:numPr>
        <w:autoSpaceDE w:val="0"/>
        <w:autoSpaceDN w:val="0"/>
        <w:adjustRightInd w:val="0"/>
        <w:spacing w:after="240"/>
        <w:ind w:left="643"/>
        <w:rPr>
          <w:rFonts w:cs="Arial"/>
          <w:szCs w:val="24"/>
        </w:rPr>
      </w:pPr>
      <w:r>
        <w:rPr>
          <w:rFonts w:cs="Arial"/>
          <w:szCs w:val="24"/>
        </w:rPr>
        <w:t>lack of stimulation</w:t>
      </w:r>
    </w:p>
    <w:p>
      <w:pPr>
        <w:numPr>
          <w:ilvl w:val="0"/>
          <w:numId w:val="28"/>
        </w:numPr>
        <w:autoSpaceDE w:val="0"/>
        <w:autoSpaceDN w:val="0"/>
        <w:adjustRightInd w:val="0"/>
        <w:spacing w:after="240"/>
        <w:ind w:left="643"/>
        <w:rPr>
          <w:rFonts w:cs="Arial"/>
          <w:szCs w:val="24"/>
        </w:rPr>
      </w:pPr>
      <w:r>
        <w:rPr>
          <w:rFonts w:cs="Arial"/>
          <w:szCs w:val="24"/>
        </w:rPr>
        <w:t>unjustified and/or excessive use of restraint</w:t>
      </w:r>
    </w:p>
    <w:p>
      <w:pPr>
        <w:numPr>
          <w:ilvl w:val="0"/>
          <w:numId w:val="28"/>
        </w:numPr>
        <w:autoSpaceDE w:val="0"/>
        <w:autoSpaceDN w:val="0"/>
        <w:adjustRightInd w:val="0"/>
        <w:spacing w:after="240"/>
        <w:ind w:left="643"/>
        <w:rPr>
          <w:rFonts w:cs="Arial"/>
          <w:szCs w:val="24"/>
        </w:rPr>
      </w:pPr>
      <w:r>
        <w:rPr>
          <w:rFonts w:cs="Arial"/>
          <w:szCs w:val="24"/>
        </w:rPr>
        <w:t>rough handling, extreme behaviour modification such as deprivation of medication, food or clothing, disabling wheelchair batteries</w:t>
      </w:r>
    </w:p>
    <w:p>
      <w:pPr>
        <w:numPr>
          <w:ilvl w:val="0"/>
          <w:numId w:val="29"/>
        </w:numPr>
        <w:autoSpaceDE w:val="0"/>
        <w:autoSpaceDN w:val="0"/>
        <w:adjustRightInd w:val="0"/>
        <w:spacing w:after="240"/>
        <w:ind w:left="643"/>
        <w:rPr>
          <w:rFonts w:cs="Arial"/>
          <w:szCs w:val="24"/>
        </w:rPr>
      </w:pPr>
      <w:r>
        <w:rPr>
          <w:rFonts w:cs="Arial"/>
          <w:szCs w:val="24"/>
        </w:rPr>
        <w:t>unwillingness to try to learn a child’s means of communication</w:t>
      </w:r>
    </w:p>
    <w:p>
      <w:pPr>
        <w:numPr>
          <w:ilvl w:val="0"/>
          <w:numId w:val="29"/>
        </w:numPr>
        <w:autoSpaceDE w:val="0"/>
        <w:autoSpaceDN w:val="0"/>
        <w:adjustRightInd w:val="0"/>
        <w:spacing w:after="240"/>
        <w:ind w:left="643"/>
        <w:rPr>
          <w:rFonts w:cs="Arial"/>
          <w:szCs w:val="24"/>
        </w:rPr>
      </w:pPr>
      <w:r>
        <w:rPr>
          <w:rFonts w:cs="Arial"/>
          <w:szCs w:val="24"/>
        </w:rPr>
        <w:t>ill-fitting equipment. for example callipers, sleep boards, inappropriate splinting</w:t>
      </w:r>
    </w:p>
    <w:p>
      <w:pPr>
        <w:numPr>
          <w:ilvl w:val="0"/>
          <w:numId w:val="29"/>
        </w:numPr>
        <w:autoSpaceDE w:val="0"/>
        <w:autoSpaceDN w:val="0"/>
        <w:adjustRightInd w:val="0"/>
        <w:spacing w:after="240"/>
        <w:ind w:left="643"/>
        <w:rPr>
          <w:rFonts w:cs="Arial"/>
          <w:szCs w:val="24"/>
        </w:rPr>
      </w:pPr>
      <w:r>
        <w:rPr>
          <w:rFonts w:cs="Arial"/>
          <w:szCs w:val="24"/>
        </w:rPr>
        <w:t>misappropriation of a child’s finances; or</w:t>
      </w:r>
    </w:p>
    <w:p>
      <w:pPr>
        <w:numPr>
          <w:ilvl w:val="0"/>
          <w:numId w:val="30"/>
        </w:numPr>
        <w:autoSpaceDE w:val="0"/>
        <w:autoSpaceDN w:val="0"/>
        <w:adjustRightInd w:val="0"/>
        <w:spacing w:after="240"/>
        <w:ind w:left="643"/>
        <w:rPr>
          <w:rFonts w:cs="Arial"/>
          <w:szCs w:val="24"/>
        </w:rPr>
      </w:pPr>
      <w:r>
        <w:rPr>
          <w:rFonts w:cs="Arial"/>
          <w:szCs w:val="24"/>
        </w:rPr>
        <w:t>inappropriate invasive procedures</w:t>
      </w: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4"/>
          <w:szCs w:val="24"/>
        </w:rPr>
      </w:pP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4"/>
          <w:szCs w:val="24"/>
        </w:rPr>
      </w:pP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p>
    <w:p>
      <w:pPr>
        <w:pStyle w:val="1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line="240" w:lineRule="auto"/>
        <w:jc w:val="left"/>
        <w:rPr>
          <w:rFonts w:cs="Arial"/>
          <w:b w:val="0"/>
          <w:sz w:val="22"/>
          <w:szCs w:val="22"/>
        </w:rPr>
      </w:pPr>
    </w:p>
    <w:p>
      <w:pPr>
        <w:pStyle w:val="3"/>
      </w:pPr>
      <w:bookmarkStart w:id="25" w:name="_Toc49500869"/>
      <w:bookmarkStart w:id="26" w:name="_Hlk94604647"/>
      <w:r>
        <w:t>Appendix 2 - Dealing with a disclosure of abuse</w:t>
      </w:r>
      <w:bookmarkEnd w:id="25"/>
      <w:r>
        <w:t xml:space="preserve"> </w:t>
      </w:r>
    </w:p>
    <w:p>
      <w:r>
        <w:t>When a child tells me about abuse s/he has suffered, what must I remember?</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stay calm</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do not communicate shock, anger or embarrassment</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reassure the child</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tell her/him you are pleased that s/he is speaking to you</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 xml:space="preserve"> never enter into a pact of secrecy with the child  </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assure her/him that you will try to help but let the child know that you will have to tell other people in order to do this.  State who this will be and why</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 xml:space="preserve">tell her/him that you believe them  </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children very rarely lie about abuse; but s/he may have tried to tell others and not been heard or believed</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tell the child that it is not her/his fault</w:t>
      </w:r>
    </w:p>
    <w:p>
      <w:pPr>
        <w:numPr>
          <w:ilvl w:val="0"/>
          <w:numId w:val="30"/>
        </w:numPr>
        <w:tabs>
          <w:tab w:val="left" w:pos="990"/>
          <w:tab w:val="left" w:pos="10080"/>
          <w:tab w:val="left" w:pos="10800"/>
          <w:tab w:val="left" w:pos="11520"/>
          <w:tab w:val="left" w:pos="12240"/>
        </w:tabs>
        <w:spacing w:after="240"/>
        <w:ind w:left="643"/>
        <w:rPr>
          <w:rFonts w:cs="Arial"/>
          <w:szCs w:val="24"/>
          <w:u w:val="single"/>
        </w:rPr>
      </w:pPr>
      <w:r>
        <w:rPr>
          <w:rFonts w:cs="Arial"/>
          <w:szCs w:val="24"/>
        </w:rPr>
        <w:t>encourage the child to talk but do not ask "leading questions" or press for information</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listen and remember</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check that you have understood correctly what the child is trying to tell you</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praise the child for telling you</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communicate that s/he has a right to be safe and protected</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do not tell the child that what s/he experienced is dirty, naughty or bad</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it is inappropriate to make any comments about the alleged offender</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be aware that the child may retract what s/he has told you.  It is essential to record all you have heard</w:t>
      </w:r>
    </w:p>
    <w:p>
      <w:pPr>
        <w:numPr>
          <w:ilvl w:val="0"/>
          <w:numId w:val="30"/>
        </w:numPr>
        <w:tabs>
          <w:tab w:val="left" w:pos="990"/>
          <w:tab w:val="left" w:pos="10080"/>
          <w:tab w:val="left" w:pos="10800"/>
          <w:tab w:val="left" w:pos="11520"/>
          <w:tab w:val="left" w:pos="12240"/>
        </w:tabs>
        <w:spacing w:after="240"/>
        <w:ind w:left="643"/>
        <w:rPr>
          <w:rFonts w:cs="Arial"/>
          <w:szCs w:val="24"/>
        </w:rPr>
      </w:pPr>
      <w:r>
        <w:rPr>
          <w:rFonts w:cs="Arial"/>
          <w:szCs w:val="24"/>
        </w:rPr>
        <w:t>at the end of the conversation, tell the child again who you are going to tell and why that person or those people need to know</w:t>
      </w:r>
    </w:p>
    <w:p>
      <w:pPr>
        <w:numPr>
          <w:ilvl w:val="0"/>
          <w:numId w:val="30"/>
        </w:numPr>
        <w:tabs>
          <w:tab w:val="left" w:pos="-90"/>
          <w:tab w:val="left" w:pos="990"/>
          <w:tab w:val="left" w:pos="10080"/>
          <w:tab w:val="left" w:pos="10800"/>
          <w:tab w:val="left" w:pos="11520"/>
          <w:tab w:val="left" w:pos="12240"/>
        </w:tabs>
        <w:spacing w:after="240"/>
        <w:ind w:left="643"/>
        <w:rPr>
          <w:rFonts w:cs="Arial"/>
          <w:szCs w:val="24"/>
        </w:rPr>
      </w:pPr>
      <w:r>
        <w:rPr>
          <w:rFonts w:cs="Arial"/>
          <w:szCs w:val="24"/>
        </w:rPr>
        <w:t xml:space="preserve">as soon as you can afterwards, make a detailed record of the conversation using the child’s own language – include any questions you may have asked  </w:t>
      </w:r>
    </w:p>
    <w:p>
      <w:pPr>
        <w:numPr>
          <w:ilvl w:val="0"/>
          <w:numId w:val="30"/>
        </w:numPr>
        <w:tabs>
          <w:tab w:val="left" w:pos="-90"/>
          <w:tab w:val="left" w:pos="990"/>
          <w:tab w:val="left" w:pos="10080"/>
          <w:tab w:val="left" w:pos="10800"/>
          <w:tab w:val="left" w:pos="11520"/>
          <w:tab w:val="left" w:pos="12240"/>
        </w:tabs>
        <w:spacing w:after="240"/>
        <w:ind w:left="643"/>
        <w:rPr>
          <w:rFonts w:cs="Arial"/>
          <w:szCs w:val="24"/>
        </w:rPr>
      </w:pPr>
      <w:r>
        <w:rPr>
          <w:rFonts w:cs="Arial"/>
          <w:szCs w:val="24"/>
        </w:rPr>
        <w:t>Do not add any opinions or interpretations</w:t>
      </w:r>
    </w:p>
    <w:p>
      <w:pPr>
        <w:tabs>
          <w:tab w:val="left" w:pos="0"/>
          <w:tab w:val="left" w:pos="10080"/>
          <w:tab w:val="left" w:pos="10800"/>
          <w:tab w:val="left" w:pos="11520"/>
          <w:tab w:val="left" w:pos="12240"/>
        </w:tabs>
        <w:spacing w:after="240"/>
        <w:rPr>
          <w:rFonts w:cs="Arial"/>
          <w:szCs w:val="24"/>
        </w:rPr>
      </w:pPr>
      <w:r>
        <w:rPr>
          <w:rFonts w:cs="Arial"/>
          <w:szCs w:val="24"/>
        </w:rPr>
        <w:t>NB It is not staff’s role to seek disclosures.  Their role is to observe that something may be wrong, ask about it, listen, be available and try to make time to talk.</w:t>
      </w:r>
    </w:p>
    <w:p>
      <w:pPr>
        <w:rPr>
          <w:b/>
          <w:u w:val="single"/>
        </w:rPr>
      </w:pPr>
      <w:r>
        <w:rPr>
          <w:b/>
        </w:rPr>
        <w:t>Immediately afterwards</w:t>
      </w:r>
    </w:p>
    <w:p>
      <w:pPr>
        <w:tabs>
          <w:tab w:val="left" w:pos="0"/>
          <w:tab w:val="left" w:pos="10080"/>
          <w:tab w:val="left" w:pos="10800"/>
          <w:tab w:val="left" w:pos="11520"/>
          <w:tab w:val="left" w:pos="12240"/>
        </w:tabs>
        <w:spacing w:after="240"/>
        <w:rPr>
          <w:rFonts w:cs="Arial"/>
          <w:szCs w:val="24"/>
        </w:rPr>
      </w:pPr>
      <w:r>
        <w:rPr>
          <w:rFonts w:cs="Arial"/>
          <w:b/>
          <w:szCs w:val="24"/>
        </w:rPr>
        <w:t>You must not deal with this yourself</w:t>
      </w:r>
      <w:r>
        <w:rPr>
          <w:rFonts w:cs="Arial"/>
          <w:szCs w:val="24"/>
        </w:rPr>
        <w:t>.  Clear indications or disclosure of abuse must be reported to children’s social care without delay, by the Manager / Pre-School Leader or the Designated Safeguarding Officer.</w:t>
      </w:r>
    </w:p>
    <w:p>
      <w:pPr>
        <w:tabs>
          <w:tab w:val="left" w:pos="0"/>
          <w:tab w:val="left" w:pos="10080"/>
          <w:tab w:val="left" w:pos="10800"/>
          <w:tab w:val="left" w:pos="11520"/>
          <w:tab w:val="left" w:pos="12240"/>
        </w:tabs>
        <w:spacing w:after="240"/>
        <w:rPr>
          <w:rFonts w:cs="Arial"/>
          <w:szCs w:val="24"/>
        </w:rPr>
      </w:pPr>
      <w:r>
        <w:rPr>
          <w:rFonts w:cs="Arial"/>
          <w:szCs w:val="24"/>
        </w:rPr>
        <w:t xml:space="preserve">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Officer or Manager or Pre-school Leader. </w:t>
      </w:r>
    </w:p>
    <w:p>
      <w:bookmarkStart w:id="27" w:name="_Allegations_about_a"/>
      <w:bookmarkEnd w:id="27"/>
    </w:p>
    <w:p>
      <w:pPr>
        <w:pStyle w:val="3"/>
      </w:pPr>
      <w:bookmarkStart w:id="28" w:name="_Toc49500870"/>
      <w:r>
        <w:t>Appendix 3 - Allegations about a member of staff, student or volunteer</w:t>
      </w:r>
      <w:bookmarkEnd w:id="28"/>
    </w:p>
    <w:p>
      <w:pPr>
        <w:pStyle w:val="13"/>
        <w:spacing w:after="240"/>
        <w:jc w:val="left"/>
        <w:rPr>
          <w:rFonts w:cs="Arial"/>
          <w:b w:val="0"/>
          <w:sz w:val="24"/>
          <w:szCs w:val="24"/>
        </w:rPr>
      </w:pPr>
      <w:r>
        <w:rPr>
          <w:rFonts w:cs="Arial"/>
          <w:b w:val="0"/>
          <w:sz w:val="24"/>
          <w:szCs w:val="24"/>
        </w:rPr>
        <w:t>Inappropriate behaviour by staff/volunteers could take the following forms:</w:t>
      </w:r>
    </w:p>
    <w:p>
      <w:pPr>
        <w:widowControl w:val="0"/>
        <w:tabs>
          <w:tab w:val="left" w:pos="1145"/>
        </w:tabs>
        <w:spacing w:after="240" w:line="289" w:lineRule="exact"/>
        <w:rPr>
          <w:rFonts w:cs="Arial"/>
          <w:szCs w:val="24"/>
          <w:lang w:val="en-US"/>
        </w:rPr>
      </w:pPr>
      <w:r>
        <w:rPr>
          <w:rFonts w:cs="Arial"/>
          <w:b/>
          <w:szCs w:val="24"/>
          <w:lang w:val="en-US"/>
        </w:rPr>
        <w:t>Physical</w:t>
      </w:r>
      <w:r>
        <w:rPr>
          <w:rFonts w:cs="Arial"/>
          <w:szCs w:val="24"/>
          <w:lang w:val="en-US"/>
        </w:rPr>
        <w:t xml:space="preserve"> </w:t>
      </w:r>
    </w:p>
    <w:p>
      <w:pPr>
        <w:spacing w:after="240"/>
        <w:ind w:left="283"/>
        <w:rPr>
          <w:rFonts w:cs="Arial"/>
          <w:szCs w:val="24"/>
          <w:lang w:val="en-US"/>
        </w:rPr>
      </w:pPr>
      <w:r>
        <w:rPr>
          <w:rFonts w:cs="Arial"/>
          <w:szCs w:val="24"/>
          <w:lang w:val="en-US"/>
        </w:rPr>
        <w:t>For example the intentional use of force as a punishment, slapping, use of objects to hit with, throwing objects or inappropriate physical handling.</w:t>
      </w:r>
    </w:p>
    <w:p>
      <w:pPr>
        <w:widowControl w:val="0"/>
        <w:tabs>
          <w:tab w:val="left" w:pos="1145"/>
        </w:tabs>
        <w:spacing w:after="240" w:line="289" w:lineRule="exact"/>
        <w:rPr>
          <w:rFonts w:cs="Arial"/>
          <w:szCs w:val="24"/>
          <w:lang w:val="en-US"/>
        </w:rPr>
      </w:pPr>
      <w:r>
        <w:rPr>
          <w:rFonts w:cs="Arial"/>
          <w:b/>
          <w:szCs w:val="24"/>
          <w:lang w:val="en-US"/>
        </w:rPr>
        <w:t>Emotional</w:t>
      </w:r>
      <w:r>
        <w:rPr>
          <w:rFonts w:cs="Arial"/>
          <w:szCs w:val="24"/>
          <w:lang w:val="en-US"/>
        </w:rPr>
        <w:t xml:space="preserve"> </w:t>
      </w:r>
    </w:p>
    <w:p>
      <w:pPr>
        <w:spacing w:after="240"/>
        <w:ind w:left="283"/>
        <w:rPr>
          <w:rFonts w:cs="Arial"/>
          <w:szCs w:val="24"/>
          <w:lang w:val="en-US"/>
        </w:rPr>
      </w:pPr>
      <w:r>
        <w:rPr>
          <w:rFonts w:cs="Arial"/>
          <w:szCs w:val="24"/>
          <w:lang w:val="en-US"/>
        </w:rPr>
        <w:t>For example intimidation, belittling, scapegoating, sarcasm, lack of respect for children’s rights, and attitudes that discriminate on the grounds of race, gender, disability or sexuality.  Excessive or aggressive shouting.</w:t>
      </w:r>
    </w:p>
    <w:p>
      <w:pPr>
        <w:widowControl w:val="0"/>
        <w:tabs>
          <w:tab w:val="left" w:pos="1145"/>
        </w:tabs>
        <w:spacing w:after="240" w:line="289" w:lineRule="exact"/>
        <w:rPr>
          <w:rFonts w:cs="Arial"/>
          <w:szCs w:val="24"/>
          <w:lang w:val="en-US"/>
        </w:rPr>
      </w:pPr>
      <w:r>
        <w:rPr>
          <w:rFonts w:cs="Arial"/>
          <w:b/>
          <w:szCs w:val="24"/>
          <w:lang w:val="en-US"/>
        </w:rPr>
        <w:t>Sexual</w:t>
      </w:r>
      <w:r>
        <w:rPr>
          <w:rFonts w:cs="Arial"/>
          <w:szCs w:val="24"/>
          <w:lang w:val="en-US"/>
        </w:rPr>
        <w:t xml:space="preserve"> </w:t>
      </w:r>
    </w:p>
    <w:p>
      <w:pPr>
        <w:spacing w:after="240"/>
        <w:ind w:left="283"/>
        <w:rPr>
          <w:rFonts w:cs="Arial"/>
          <w:szCs w:val="24"/>
          <w:lang w:val="en-US"/>
        </w:rPr>
      </w:pPr>
      <w:r>
        <w:rPr>
          <w:rFonts w:cs="Arial"/>
          <w:szCs w:val="24"/>
          <w:lang w:val="en-US"/>
        </w:rPr>
        <w:t xml:space="preserve">For example </w:t>
      </w:r>
      <w:r>
        <w:rPr>
          <w:rFonts w:cs="Arial"/>
          <w:szCs w:val="24"/>
        </w:rPr>
        <w:t>sexualised</w:t>
      </w:r>
      <w:r>
        <w:rPr>
          <w:rFonts w:cs="Arial"/>
          <w:szCs w:val="24"/>
          <w:lang w:val="en-US"/>
        </w:rPr>
        <w:t xml:space="preserve"> </w:t>
      </w:r>
      <w:r>
        <w:rPr>
          <w:rFonts w:cs="Arial"/>
          <w:szCs w:val="24"/>
        </w:rPr>
        <w:t>behaviour</w:t>
      </w:r>
      <w:r>
        <w:rPr>
          <w:rFonts w:cs="Arial"/>
          <w:szCs w:val="24"/>
          <w:lang w:val="en-US"/>
        </w:rPr>
        <w:t xml:space="preserve"> towards peers, sexual harassment, sexual communication including via social networking, email, text, grooming behavior, sexual assault and rape.</w:t>
      </w:r>
    </w:p>
    <w:p>
      <w:pPr>
        <w:widowControl w:val="0"/>
        <w:tabs>
          <w:tab w:val="left" w:pos="1145"/>
        </w:tabs>
        <w:spacing w:after="240" w:line="289" w:lineRule="exact"/>
        <w:rPr>
          <w:rFonts w:cs="Arial"/>
          <w:szCs w:val="24"/>
          <w:lang w:val="en-US"/>
        </w:rPr>
      </w:pPr>
      <w:r>
        <w:rPr>
          <w:rFonts w:cs="Arial"/>
          <w:b/>
          <w:szCs w:val="24"/>
          <w:lang w:val="en-US"/>
        </w:rPr>
        <w:t>Neglect</w:t>
      </w:r>
    </w:p>
    <w:p>
      <w:pPr>
        <w:spacing w:after="240"/>
        <w:ind w:left="283"/>
        <w:rPr>
          <w:rFonts w:cs="Arial"/>
          <w:szCs w:val="24"/>
          <w:lang w:val="en-US"/>
        </w:rPr>
      </w:pPr>
      <w:r>
        <w:rPr>
          <w:rFonts w:cs="Arial"/>
          <w:szCs w:val="24"/>
          <w:lang w:val="en-US"/>
        </w:rPr>
        <w:t>For example failing to act to protect a child or children, failing to seek medical attention or failure to meet a child’s basic needs.</w:t>
      </w:r>
    </w:p>
    <w:p>
      <w:pPr>
        <w:spacing w:after="240"/>
        <w:rPr>
          <w:rFonts w:cs="Arial"/>
          <w:b/>
          <w:szCs w:val="24"/>
          <w:lang w:val="en-US"/>
        </w:rPr>
      </w:pPr>
    </w:p>
    <w:p>
      <w:pPr>
        <w:spacing w:after="240"/>
        <w:rPr>
          <w:rFonts w:cs="Arial"/>
          <w:szCs w:val="24"/>
          <w:lang w:val="en-US"/>
        </w:rPr>
      </w:pPr>
      <w:r>
        <w:rPr>
          <w:rFonts w:cs="Arial"/>
          <w:szCs w:val="24"/>
          <w:lang w:val="en-US"/>
        </w:rPr>
        <w:t>Behaviours that may take place outside of the workplace that present a transferable risk in their professional role with children.  For example, alleged perpetrator of domestic abuse, offences demonstrating a sexual interest in children, abuse or neglect of their own children or behaviours that are incompatible with a professional role working with children.</w:t>
      </w:r>
    </w:p>
    <w:p>
      <w:pPr>
        <w:pStyle w:val="13"/>
        <w:spacing w:after="240"/>
        <w:jc w:val="left"/>
        <w:rPr>
          <w:rFonts w:cs="Arial"/>
          <w:b w:val="0"/>
          <w:sz w:val="24"/>
          <w:szCs w:val="24"/>
          <w:lang w:val="en-US"/>
        </w:rPr>
      </w:pPr>
      <w:r>
        <w:rPr>
          <w:rFonts w:cs="Arial"/>
          <w:b w:val="0"/>
          <w:sz w:val="24"/>
          <w:szCs w:val="24"/>
          <w:lang w:val="en-US"/>
        </w:rPr>
        <w:t xml:space="preserve">If a child makes an allegation or raises a concern about a member of staff, committee member, visitor </w:t>
      </w:r>
      <w:r>
        <w:rPr>
          <w:rFonts w:cs="Arial"/>
          <w:b w:val="0"/>
          <w:sz w:val="24"/>
          <w:szCs w:val="24"/>
        </w:rPr>
        <w:t>or</w:t>
      </w:r>
      <w:r>
        <w:rPr>
          <w:rFonts w:cs="Arial"/>
          <w:b w:val="0"/>
          <w:sz w:val="24"/>
          <w:szCs w:val="24"/>
          <w:lang w:val="en-US"/>
        </w:rPr>
        <w:t xml:space="preserve"> volunteer the Manager </w:t>
      </w:r>
      <w:r>
        <w:rPr>
          <w:rFonts w:cs="Arial"/>
          <w:b w:val="0"/>
          <w:sz w:val="24"/>
          <w:szCs w:val="24"/>
        </w:rPr>
        <w:t>/ Pre-School Leader</w:t>
      </w:r>
      <w:r>
        <w:rPr>
          <w:rFonts w:cs="Arial"/>
          <w:b w:val="0"/>
          <w:sz w:val="24"/>
          <w:szCs w:val="24"/>
          <w:lang w:val="en-US"/>
        </w:rPr>
        <w:t xml:space="preserve"> should be informed immediately.  If the allegation or concern falls within the following criteria the LADO will be contacted at the earliest possibly opportunity and within 1 working day.  </w:t>
      </w:r>
    </w:p>
    <w:p>
      <w:pPr>
        <w:pStyle w:val="13"/>
        <w:numPr>
          <w:ilvl w:val="0"/>
          <w:numId w:val="20"/>
        </w:numPr>
        <w:tabs>
          <w:tab w:val="clear" w:pos="144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behaved in a way that has harmed a child or may have harmed a child</w:t>
      </w:r>
    </w:p>
    <w:p>
      <w:pPr>
        <w:pStyle w:val="13"/>
        <w:numPr>
          <w:ilvl w:val="0"/>
          <w:numId w:val="20"/>
        </w:numPr>
        <w:tabs>
          <w:tab w:val="clear" w:pos="144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possibly committed a criminal offence against or related to a child</w:t>
      </w:r>
    </w:p>
    <w:p>
      <w:pPr>
        <w:pStyle w:val="13"/>
        <w:numPr>
          <w:ilvl w:val="0"/>
          <w:numId w:val="20"/>
        </w:numPr>
        <w:tabs>
          <w:tab w:val="clear" w:pos="144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ind w:left="643"/>
        <w:jc w:val="left"/>
        <w:rPr>
          <w:rFonts w:cs="Arial"/>
          <w:b w:val="0"/>
          <w:sz w:val="24"/>
          <w:szCs w:val="24"/>
        </w:rPr>
      </w:pPr>
      <w:r>
        <w:rPr>
          <w:rFonts w:cs="Arial"/>
          <w:b w:val="0"/>
          <w:sz w:val="24"/>
          <w:szCs w:val="24"/>
        </w:rPr>
        <w:t>behaved in a way that indicates s/he may pose a risk of harm to children</w:t>
      </w:r>
    </w:p>
    <w:p>
      <w:pPr>
        <w:spacing w:after="240"/>
      </w:pPr>
      <w:r>
        <w:rPr>
          <w:rFonts w:cs="Arial"/>
          <w:szCs w:val="24"/>
          <w:lang w:val="en-US"/>
        </w:rPr>
        <w:t xml:space="preserve">The Manager </w:t>
      </w:r>
      <w:r>
        <w:rPr>
          <w:rFonts w:cs="Arial"/>
          <w:szCs w:val="24"/>
        </w:rPr>
        <w:t xml:space="preserve">/ Pre-school Leader </w:t>
      </w:r>
      <w:r>
        <w:rPr>
          <w:rFonts w:cs="Arial"/>
          <w:szCs w:val="24"/>
          <w:lang w:val="en-US"/>
        </w:rPr>
        <w:t>will not carry out the investigation him/herself or interview children.</w:t>
      </w:r>
    </w:p>
    <w:p>
      <w:pPr>
        <w:pStyle w:val="13"/>
        <w:spacing w:after="240"/>
        <w:jc w:val="left"/>
        <w:rPr>
          <w:rFonts w:cs="Arial"/>
          <w:b w:val="0"/>
          <w:sz w:val="24"/>
          <w:szCs w:val="24"/>
          <w:lang w:val="en-US"/>
        </w:rPr>
      </w:pPr>
      <w:r>
        <w:rPr>
          <w:rFonts w:cs="Arial"/>
          <w:b w:val="0"/>
          <w:sz w:val="24"/>
          <w:szCs w:val="24"/>
          <w:lang w:val="en-US"/>
        </w:rPr>
        <w:t>If a child makes an allegation of physical abuse against an adult that works with children and there are visible bruises, marks or injuries or if a child makes an allegation of sexual abuse against an adult that works with children, Child Protection procedures will be followed and a referral made to the Multi-Agency safeguarding Hub (MASH). The LADO will also be informed.</w:t>
      </w:r>
    </w:p>
    <w:p>
      <w:pPr>
        <w:autoSpaceDE w:val="0"/>
        <w:autoSpaceDN w:val="0"/>
        <w:adjustRightInd w:val="0"/>
        <w:spacing w:after="240"/>
        <w:rPr>
          <w:rFonts w:cs="Arial"/>
          <w:szCs w:val="24"/>
        </w:rPr>
      </w:pPr>
      <w:r>
        <w:rPr>
          <w:rFonts w:cs="Arial"/>
          <w:szCs w:val="24"/>
        </w:rPr>
        <w:t xml:space="preserve">The Manager /Pre-school Leader must exercise, and be accountable for, their professional judgement on the action to be taken, as follows – </w:t>
      </w:r>
    </w:p>
    <w:p>
      <w:pPr>
        <w:autoSpaceDE w:val="0"/>
        <w:autoSpaceDN w:val="0"/>
        <w:adjustRightInd w:val="0"/>
        <w:spacing w:after="240"/>
        <w:rPr>
          <w:rFonts w:cs="Arial"/>
          <w:szCs w:val="24"/>
        </w:rPr>
      </w:pPr>
      <w:r>
        <w:rPr>
          <w:rFonts w:cs="Arial"/>
          <w:szCs w:val="24"/>
        </w:rPr>
        <w:t xml:space="preserve">If the actions of the member of staff, are felt likely to fall within the scope of the interagency allegation management procedures the Manager/Pre -school Leader will notify the Local Authority Designated Officer (LADO) (Tel: 01582 548069).  The LADO will liaise with the Manager/Pre-school Leader and advise about action to be taken which will be in accordance with the interagency procedures for managing allegations.  </w:t>
      </w:r>
    </w:p>
    <w:p>
      <w:pPr>
        <w:widowControl w:val="0"/>
        <w:tabs>
          <w:tab w:val="left" w:pos="1145"/>
        </w:tabs>
        <w:spacing w:after="240"/>
        <w:rPr>
          <w:rFonts w:cs="Arial"/>
          <w:szCs w:val="24"/>
          <w:lang w:val="en-US"/>
        </w:rPr>
      </w:pPr>
      <w:r>
        <w:rPr>
          <w:rFonts w:cs="Arial"/>
          <w:szCs w:val="24"/>
        </w:rPr>
        <w:t>If the Manager/Pre-school Leader is uncertain whether the concern or allegation falls within the scope of the allegation management procedures a consultation with the LADO will take place and the advice provided will be acted upon.  This consultation and the advice offered will be recorded and held on file.</w:t>
      </w:r>
    </w:p>
    <w:p>
      <w:pPr>
        <w:spacing w:after="240"/>
      </w:pPr>
      <w:r>
        <w:rPr>
          <w:rFonts w:cs="Arial"/>
          <w:szCs w:val="24"/>
          <w:lang w:val="en-US"/>
        </w:rPr>
        <w:t xml:space="preserve">Where an allegation has been made against the Manager </w:t>
      </w:r>
      <w:r>
        <w:rPr>
          <w:rFonts w:cs="Arial"/>
          <w:szCs w:val="24"/>
        </w:rPr>
        <w:t>/ Pre-school Leader</w:t>
      </w:r>
      <w:r>
        <w:rPr>
          <w:rFonts w:cs="Arial"/>
          <w:szCs w:val="24"/>
          <w:lang w:val="en-US"/>
        </w:rPr>
        <w:t xml:space="preserve">, then the Committee/owner takes on the role of liaising with the LADO team in determining the appropriate way forward.  For details of this specific procedure see the Section </w:t>
      </w:r>
      <w:r>
        <w:fldChar w:fldCharType="begin"/>
      </w:r>
      <w:r>
        <w:instrText xml:space="preserve"> HYPERLINK "http://lutonlscb.org.uk/allegations.html" </w:instrText>
      </w:r>
      <w:r>
        <w:fldChar w:fldCharType="separate"/>
      </w:r>
      <w:r>
        <w:rPr>
          <w:rStyle w:val="26"/>
          <w:rFonts w:cs="Arial"/>
          <w:color w:val="auto"/>
          <w:szCs w:val="24"/>
          <w:lang w:val="en-US"/>
        </w:rPr>
        <w:t>on Allegations against Staff and Volunteers</w:t>
      </w:r>
      <w:r>
        <w:rPr>
          <w:rStyle w:val="26"/>
          <w:rFonts w:cs="Arial"/>
          <w:color w:val="auto"/>
          <w:szCs w:val="24"/>
          <w:lang w:val="en-US"/>
        </w:rPr>
        <w:fldChar w:fldCharType="end"/>
      </w:r>
      <w:r>
        <w:rPr>
          <w:rFonts w:cs="Arial"/>
          <w:szCs w:val="24"/>
          <w:lang w:val="en-US"/>
        </w:rPr>
        <w:t xml:space="preserve"> in the procedures of the LSCB</w:t>
      </w:r>
    </w:p>
    <w:bookmarkEnd w:id="26"/>
    <w:p>
      <w:pPr>
        <w:tabs>
          <w:tab w:val="left" w:pos="0"/>
          <w:tab w:val="left" w:pos="10080"/>
          <w:tab w:val="left" w:pos="10800"/>
          <w:tab w:val="left" w:pos="11520"/>
          <w:tab w:val="left" w:pos="12240"/>
        </w:tabs>
        <w:spacing w:after="240" w:line="240" w:lineRule="auto"/>
        <w:jc w:val="right"/>
        <w:rPr>
          <w:rFonts w:cs="Arial"/>
          <w:b/>
          <w:szCs w:val="24"/>
        </w:rPr>
      </w:pPr>
      <w:r>
        <w:rPr>
          <w:rFonts w:cs="Arial"/>
          <w:sz w:val="22"/>
          <w:szCs w:val="22"/>
        </w:rPr>
        <w:br w:type="page"/>
      </w:r>
    </w:p>
    <w:p>
      <w:pPr>
        <w:tabs>
          <w:tab w:val="left" w:pos="0"/>
          <w:tab w:val="left" w:pos="10080"/>
          <w:tab w:val="left" w:pos="10800"/>
          <w:tab w:val="left" w:pos="11520"/>
          <w:tab w:val="left" w:pos="12240"/>
        </w:tabs>
        <w:spacing w:after="240" w:line="240" w:lineRule="auto"/>
        <w:rPr>
          <w:rFonts w:cs="Arial"/>
          <w:sz w:val="22"/>
          <w:szCs w:val="22"/>
        </w:rPr>
      </w:pPr>
      <w:r>
        <w:rPr>
          <w:rFonts w:cs="Arial"/>
          <w:sz w:val="22"/>
          <w:szCs w:val="22"/>
        </w:rPr>
        <w:t xml:space="preserve">                                                                                                                                        </w:t>
      </w:r>
    </w:p>
    <w:p>
      <w:pPr>
        <w:pStyle w:val="3"/>
      </w:pPr>
      <w:bookmarkStart w:id="29" w:name="_Toc49500871"/>
      <w:r>
        <w:t>Appendix 4 - Indicators of vulnerability to radicalisation</w:t>
      </w:r>
      <w:bookmarkEnd w:id="29"/>
    </w:p>
    <w:p>
      <w:pPr>
        <w:pStyle w:val="53"/>
        <w:rPr>
          <w:rFonts w:ascii="Arial" w:hAnsi="Arial" w:cs="Arial"/>
          <w:sz w:val="24"/>
          <w:szCs w:val="24"/>
        </w:rPr>
      </w:pPr>
      <w:r>
        <w:rPr>
          <w:rFonts w:ascii="Arial" w:hAnsi="Arial" w:eastAsia="Times New Roman" w:cs="Arial"/>
          <w:sz w:val="24"/>
          <w:szCs w:val="24"/>
        </w:rPr>
        <w:t>Radicalisation refers to the process by which a person comes to support terrorism and forms of extremism leading to terrorism.</w:t>
      </w:r>
    </w:p>
    <w:p>
      <w:pPr>
        <w:pStyle w:val="53"/>
        <w:spacing w:after="240"/>
        <w:rPr>
          <w:rFonts w:ascii="Arial" w:hAnsi="Arial" w:eastAsia="Times New Roman" w:cs="Arial"/>
          <w:sz w:val="24"/>
          <w:szCs w:val="24"/>
        </w:rPr>
      </w:pPr>
      <w:r>
        <w:rPr>
          <w:rFonts w:ascii="Arial" w:hAnsi="Arial" w:eastAsia="Times New Roman" w:cs="Arial"/>
          <w:sz w:val="24"/>
          <w:szCs w:val="24"/>
        </w:rPr>
        <w:t>Extremism is defined by the Government in the Prevent Strategy as:</w:t>
      </w:r>
    </w:p>
    <w:p>
      <w:pPr>
        <w:pStyle w:val="53"/>
        <w:numPr>
          <w:ilvl w:val="0"/>
          <w:numId w:val="31"/>
        </w:numPr>
        <w:spacing w:after="240"/>
        <w:rPr>
          <w:rFonts w:ascii="Arial" w:hAnsi="Arial" w:eastAsia="Times New Roman" w:cs="Arial"/>
          <w:sz w:val="24"/>
          <w:szCs w:val="24"/>
        </w:rPr>
      </w:pPr>
      <w:r>
        <w:rPr>
          <w:rFonts w:ascii="Arial" w:hAnsi="Arial" w:eastAsia="Times New Roman" w:cs="Arial"/>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pPr>
        <w:pStyle w:val="53"/>
        <w:spacing w:after="240"/>
        <w:rPr>
          <w:rFonts w:ascii="Arial" w:hAnsi="Arial" w:eastAsia="Times New Roman" w:cs="Arial"/>
          <w:sz w:val="24"/>
          <w:szCs w:val="24"/>
        </w:rPr>
      </w:pPr>
      <w:r>
        <w:rPr>
          <w:rFonts w:ascii="Arial" w:hAnsi="Arial" w:eastAsia="Times New Roman" w:cs="Arial"/>
          <w:sz w:val="24"/>
          <w:szCs w:val="24"/>
        </w:rPr>
        <w:t>Extremism is defined by the Crown Prosecution Service as:</w:t>
      </w:r>
    </w:p>
    <w:p>
      <w:pPr>
        <w:pStyle w:val="53"/>
        <w:spacing w:after="240"/>
        <w:rPr>
          <w:rFonts w:ascii="Arial" w:hAnsi="Arial" w:eastAsia="Times New Roman" w:cs="Arial"/>
          <w:sz w:val="24"/>
          <w:szCs w:val="24"/>
        </w:rPr>
      </w:pPr>
      <w:r>
        <w:rPr>
          <w:rFonts w:ascii="Arial" w:hAnsi="Arial" w:eastAsia="Times New Roman" w:cs="Arial"/>
          <w:sz w:val="24"/>
          <w:szCs w:val="24"/>
        </w:rPr>
        <w:t>The demonstration of unacceptable behaviour by using any means or medium to express views which:</w:t>
      </w:r>
    </w:p>
    <w:p>
      <w:pPr>
        <w:pStyle w:val="53"/>
        <w:numPr>
          <w:ilvl w:val="0"/>
          <w:numId w:val="32"/>
        </w:numPr>
        <w:spacing w:after="240"/>
        <w:ind w:left="643"/>
        <w:rPr>
          <w:rFonts w:ascii="Arial" w:hAnsi="Arial" w:eastAsia="Times New Roman" w:cs="Arial"/>
          <w:sz w:val="24"/>
          <w:szCs w:val="24"/>
        </w:rPr>
      </w:pPr>
      <w:r>
        <w:rPr>
          <w:rFonts w:ascii="Arial" w:hAnsi="Arial" w:eastAsia="Times New Roman" w:cs="Arial"/>
          <w:sz w:val="24"/>
          <w:szCs w:val="24"/>
        </w:rPr>
        <w:t>encourage, justify or glorify terrorist violence in furtherance of particular beliefs</w:t>
      </w:r>
    </w:p>
    <w:p>
      <w:pPr>
        <w:pStyle w:val="53"/>
        <w:numPr>
          <w:ilvl w:val="0"/>
          <w:numId w:val="32"/>
        </w:numPr>
        <w:spacing w:after="240"/>
        <w:ind w:left="643"/>
        <w:rPr>
          <w:rFonts w:ascii="Arial" w:hAnsi="Arial" w:eastAsia="Times New Roman" w:cs="Arial"/>
          <w:sz w:val="24"/>
          <w:szCs w:val="24"/>
        </w:rPr>
      </w:pPr>
      <w:r>
        <w:rPr>
          <w:rFonts w:ascii="Arial" w:hAnsi="Arial" w:eastAsia="Times New Roman" w:cs="Arial"/>
          <w:sz w:val="24"/>
          <w:szCs w:val="24"/>
        </w:rPr>
        <w:t>seek to provoke others to terrorist acts</w:t>
      </w:r>
    </w:p>
    <w:p>
      <w:pPr>
        <w:pStyle w:val="53"/>
        <w:numPr>
          <w:ilvl w:val="0"/>
          <w:numId w:val="32"/>
        </w:numPr>
        <w:spacing w:after="240"/>
        <w:ind w:left="643"/>
        <w:rPr>
          <w:rFonts w:ascii="Arial" w:hAnsi="Arial" w:eastAsia="Times New Roman" w:cs="Arial"/>
          <w:sz w:val="24"/>
          <w:szCs w:val="24"/>
        </w:rPr>
      </w:pPr>
      <w:r>
        <w:rPr>
          <w:rFonts w:ascii="Arial" w:hAnsi="Arial" w:eastAsia="Times New Roman" w:cs="Arial"/>
          <w:sz w:val="24"/>
          <w:szCs w:val="24"/>
        </w:rPr>
        <w:t>encourage other serious criminal activity or seek to provoke others to serious criminal acts</w:t>
      </w:r>
    </w:p>
    <w:p>
      <w:pPr>
        <w:pStyle w:val="53"/>
        <w:numPr>
          <w:ilvl w:val="0"/>
          <w:numId w:val="32"/>
        </w:numPr>
        <w:spacing w:after="240"/>
        <w:ind w:left="643"/>
        <w:rPr>
          <w:rFonts w:ascii="Arial" w:hAnsi="Arial" w:eastAsia="Times New Roman" w:cs="Arial"/>
          <w:sz w:val="24"/>
          <w:szCs w:val="24"/>
        </w:rPr>
      </w:pPr>
      <w:r>
        <w:rPr>
          <w:rFonts w:ascii="Arial" w:hAnsi="Arial" w:eastAsia="Times New Roman" w:cs="Arial"/>
          <w:sz w:val="24"/>
          <w:szCs w:val="24"/>
        </w:rPr>
        <w:t>foster hatred which might lead to inter-community violence in the UK</w:t>
      </w:r>
    </w:p>
    <w:p>
      <w:pPr>
        <w:spacing w:after="0"/>
        <w:rPr>
          <w:rFonts w:cs="Arial"/>
          <w:szCs w:val="24"/>
        </w:rPr>
      </w:pPr>
    </w:p>
    <w:p>
      <w:pPr>
        <w:pStyle w:val="53"/>
        <w:rPr>
          <w:rFonts w:ascii="Arial" w:hAnsi="Arial" w:eastAsia="Times New Roman" w:cs="Arial"/>
          <w:sz w:val="24"/>
          <w:szCs w:val="24"/>
        </w:rPr>
      </w:pPr>
      <w:r>
        <w:rPr>
          <w:rFonts w:ascii="Arial" w:hAnsi="Arial" w:cs="Arial"/>
          <w:sz w:val="24"/>
          <w:szCs w:val="24"/>
        </w:rPr>
        <w:t xml:space="preserve">There is no such thing as a “typical extremist”: those who become involved in extremist actions come from a range of backgrounds and experiences and </w:t>
      </w:r>
      <w:r>
        <w:rPr>
          <w:rFonts w:ascii="Arial" w:hAnsi="Arial" w:eastAsia="Times New Roman" w:cs="Arial"/>
          <w:sz w:val="24"/>
          <w:szCs w:val="24"/>
        </w:rPr>
        <w:t>most individuals, even those who hold radical views, do not become involved in violent extremist activity</w:t>
      </w:r>
    </w:p>
    <w:p>
      <w:pPr>
        <w:pStyle w:val="53"/>
        <w:ind w:left="720" w:hanging="720"/>
        <w:rPr>
          <w:rFonts w:ascii="Arial" w:hAnsi="Arial"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Indicators of vulnerability include:</w:t>
      </w:r>
    </w:p>
    <w:p>
      <w:pPr>
        <w:pStyle w:val="53"/>
        <w:rPr>
          <w:rFonts w:ascii="Arial" w:hAnsi="Arial" w:cs="Arial"/>
          <w:sz w:val="24"/>
          <w:szCs w:val="24"/>
        </w:rPr>
      </w:pPr>
    </w:p>
    <w:p>
      <w:pPr>
        <w:pStyle w:val="53"/>
        <w:numPr>
          <w:ilvl w:val="0"/>
          <w:numId w:val="33"/>
        </w:numPr>
        <w:ind w:left="643"/>
        <w:rPr>
          <w:rFonts w:ascii="Arial" w:hAnsi="Arial" w:cs="Arial"/>
          <w:sz w:val="24"/>
          <w:szCs w:val="24"/>
        </w:rPr>
      </w:pPr>
      <w:r>
        <w:rPr>
          <w:rFonts w:ascii="Arial" w:hAnsi="Arial" w:cs="Arial"/>
          <w:sz w:val="24"/>
          <w:szCs w:val="24"/>
        </w:rPr>
        <w:t xml:space="preserve">identity crisis – the </w:t>
      </w:r>
      <w:r>
        <w:rPr>
          <w:rFonts w:ascii="Arial" w:hAnsi="Arial" w:eastAsia="Times New Roman" w:cs="Arial"/>
          <w:sz w:val="24"/>
          <w:szCs w:val="24"/>
        </w:rPr>
        <w:t xml:space="preserve">child  </w:t>
      </w:r>
      <w:r>
        <w:rPr>
          <w:rFonts w:ascii="Arial" w:hAnsi="Arial" w:cs="Arial"/>
          <w:sz w:val="24"/>
          <w:szCs w:val="24"/>
        </w:rPr>
        <w:t xml:space="preserve">is distanced from their </w:t>
      </w:r>
      <w:r>
        <w:rPr>
          <w:rFonts w:ascii="Arial" w:hAnsi="Arial" w:eastAsia="Times New Roman" w:cs="Arial"/>
          <w:sz w:val="24"/>
          <w:szCs w:val="24"/>
        </w:rPr>
        <w:t>cultural / religious heritage and experiences discomfort about their place in society</w:t>
      </w:r>
    </w:p>
    <w:p>
      <w:pPr>
        <w:pStyle w:val="53"/>
        <w:numPr>
          <w:ilvl w:val="0"/>
          <w:numId w:val="33"/>
        </w:numPr>
        <w:spacing w:after="240"/>
        <w:ind w:left="643"/>
        <w:rPr>
          <w:rFonts w:ascii="Arial" w:hAnsi="Arial" w:cs="Arial"/>
          <w:sz w:val="24"/>
          <w:szCs w:val="24"/>
        </w:rPr>
      </w:pPr>
      <w:r>
        <w:rPr>
          <w:rFonts w:ascii="Arial" w:hAnsi="Arial" w:eastAsia="Times New Roman" w:cs="Arial"/>
          <w:sz w:val="24"/>
          <w:szCs w:val="24"/>
        </w:rPr>
        <w:t>personal crisis – the child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pPr>
        <w:pStyle w:val="53"/>
        <w:numPr>
          <w:ilvl w:val="0"/>
          <w:numId w:val="33"/>
        </w:numPr>
        <w:spacing w:after="240"/>
        <w:ind w:left="643"/>
        <w:rPr>
          <w:rFonts w:ascii="Arial" w:hAnsi="Arial" w:cs="Arial"/>
          <w:sz w:val="24"/>
          <w:szCs w:val="24"/>
        </w:rPr>
      </w:pPr>
      <w:r>
        <w:rPr>
          <w:rFonts w:ascii="Arial" w:hAnsi="Arial" w:cs="Arial"/>
          <w:sz w:val="24"/>
          <w:szCs w:val="24"/>
        </w:rPr>
        <w:t xml:space="preserve">personal circumstances – migration; </w:t>
      </w:r>
      <w:r>
        <w:rPr>
          <w:rFonts w:ascii="Arial" w:hAnsi="Arial" w:eastAsia="Times New Roman" w:cs="Arial"/>
          <w:sz w:val="24"/>
          <w:szCs w:val="24"/>
        </w:rPr>
        <w:t>local community tensions; and events affecting the child’s country or region of origin may contribute to a sense of grievance that is triggered by personal experience of racism or discrimination or aspects of Government policy;</w:t>
      </w:r>
    </w:p>
    <w:p>
      <w:pPr>
        <w:pStyle w:val="53"/>
        <w:numPr>
          <w:ilvl w:val="0"/>
          <w:numId w:val="33"/>
        </w:numPr>
        <w:spacing w:after="240"/>
        <w:ind w:left="643"/>
        <w:rPr>
          <w:rFonts w:ascii="Arial" w:hAnsi="Arial" w:cs="Arial"/>
          <w:sz w:val="24"/>
          <w:szCs w:val="24"/>
        </w:rPr>
      </w:pPr>
      <w:r>
        <w:rPr>
          <w:rFonts w:ascii="Arial" w:hAnsi="Arial" w:eastAsia="Times New Roman" w:cs="Arial"/>
          <w:sz w:val="24"/>
          <w:szCs w:val="24"/>
        </w:rPr>
        <w:t>unmet aspirations – the child  may have perceptions of injustice; a feeling of failure; rejection of civic life</w:t>
      </w:r>
    </w:p>
    <w:p>
      <w:pPr>
        <w:pStyle w:val="53"/>
        <w:numPr>
          <w:ilvl w:val="0"/>
          <w:numId w:val="33"/>
        </w:numPr>
        <w:spacing w:after="240"/>
        <w:ind w:left="643"/>
        <w:rPr>
          <w:rFonts w:ascii="Arial" w:hAnsi="Arial" w:cs="Arial"/>
          <w:sz w:val="24"/>
          <w:szCs w:val="24"/>
        </w:rPr>
      </w:pPr>
      <w:r>
        <w:rPr>
          <w:rFonts w:ascii="Arial" w:hAnsi="Arial" w:cs="Arial"/>
          <w:sz w:val="24"/>
          <w:szCs w:val="24"/>
        </w:rPr>
        <w:t xml:space="preserve">experiences of criminality – which may include involvement with criminal groups, imprisonment, and </w:t>
      </w:r>
      <w:r>
        <w:rPr>
          <w:rFonts w:ascii="Arial" w:hAnsi="Arial" w:eastAsia="Times New Roman" w:cs="Arial"/>
          <w:sz w:val="24"/>
          <w:szCs w:val="24"/>
        </w:rPr>
        <w:t>poor resettlement / reintegration</w:t>
      </w:r>
    </w:p>
    <w:p>
      <w:pPr>
        <w:pStyle w:val="53"/>
        <w:numPr>
          <w:ilvl w:val="0"/>
          <w:numId w:val="33"/>
        </w:numPr>
        <w:ind w:left="643"/>
        <w:rPr>
          <w:rFonts w:ascii="Arial" w:hAnsi="Arial" w:cs="Arial"/>
          <w:sz w:val="24"/>
          <w:szCs w:val="24"/>
        </w:rPr>
      </w:pPr>
      <w:r>
        <w:rPr>
          <w:rFonts w:ascii="Arial" w:hAnsi="Arial" w:cs="Arial"/>
          <w:sz w:val="24"/>
          <w:szCs w:val="24"/>
        </w:rPr>
        <w:t>special educational need – children may experience difficulties with social interaction, empathy with others, understanding the consequences of their actions and awareness of the motivations of others</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However, this list is not exhaustive, nor does it mean that all young people experiencing the above are at risk of radicalisation for the purposes of violent extremism More critical risk factors could include:</w:t>
      </w:r>
    </w:p>
    <w:p>
      <w:pPr>
        <w:pStyle w:val="53"/>
        <w:spacing w:after="240"/>
        <w:rPr>
          <w:rFonts w:ascii="Arial" w:hAnsi="Arial" w:cs="Arial"/>
          <w:sz w:val="24"/>
          <w:szCs w:val="24"/>
        </w:rPr>
      </w:pPr>
    </w:p>
    <w:p>
      <w:pPr>
        <w:pStyle w:val="53"/>
        <w:numPr>
          <w:ilvl w:val="0"/>
          <w:numId w:val="34"/>
        </w:numPr>
        <w:spacing w:after="240"/>
        <w:ind w:left="643"/>
        <w:rPr>
          <w:rFonts w:ascii="Arial" w:hAnsi="Arial" w:cs="Arial"/>
          <w:sz w:val="24"/>
          <w:szCs w:val="24"/>
        </w:rPr>
      </w:pPr>
      <w:r>
        <w:rPr>
          <w:rFonts w:ascii="Arial" w:hAnsi="Arial" w:eastAsia="Times New Roman" w:cs="Arial"/>
          <w:sz w:val="24"/>
          <w:szCs w:val="24"/>
        </w:rPr>
        <w:t>being in contact with extremist recruiters</w:t>
      </w:r>
    </w:p>
    <w:p>
      <w:pPr>
        <w:pStyle w:val="53"/>
        <w:numPr>
          <w:ilvl w:val="0"/>
          <w:numId w:val="34"/>
        </w:numPr>
        <w:spacing w:after="240"/>
        <w:ind w:left="643"/>
        <w:rPr>
          <w:rFonts w:ascii="Arial" w:hAnsi="Arial" w:cs="Arial"/>
          <w:sz w:val="24"/>
          <w:szCs w:val="24"/>
        </w:rPr>
      </w:pPr>
      <w:r>
        <w:rPr>
          <w:rFonts w:ascii="Arial" w:hAnsi="Arial" w:eastAsia="Times New Roman" w:cs="Arial"/>
          <w:sz w:val="24"/>
          <w:szCs w:val="24"/>
        </w:rPr>
        <w:t>accessing violent extremist websites, especially those with a social networking element</w:t>
      </w:r>
    </w:p>
    <w:p>
      <w:pPr>
        <w:pStyle w:val="53"/>
        <w:numPr>
          <w:ilvl w:val="0"/>
          <w:numId w:val="34"/>
        </w:numPr>
        <w:spacing w:after="240"/>
        <w:ind w:left="643"/>
        <w:rPr>
          <w:rFonts w:ascii="Arial" w:hAnsi="Arial" w:cs="Arial"/>
          <w:sz w:val="24"/>
          <w:szCs w:val="24"/>
        </w:rPr>
      </w:pPr>
      <w:r>
        <w:rPr>
          <w:rFonts w:ascii="Arial" w:hAnsi="Arial" w:eastAsia="Times New Roman" w:cs="Arial"/>
          <w:sz w:val="24"/>
          <w:szCs w:val="24"/>
        </w:rPr>
        <w:t>possessing or accessing violent extremist literature</w:t>
      </w:r>
    </w:p>
    <w:p>
      <w:pPr>
        <w:pStyle w:val="53"/>
        <w:numPr>
          <w:ilvl w:val="0"/>
          <w:numId w:val="34"/>
        </w:numPr>
        <w:spacing w:after="240"/>
        <w:ind w:left="643"/>
        <w:rPr>
          <w:rFonts w:ascii="Arial" w:hAnsi="Arial" w:cs="Arial"/>
          <w:sz w:val="24"/>
          <w:szCs w:val="24"/>
        </w:rPr>
      </w:pPr>
      <w:r>
        <w:rPr>
          <w:rFonts w:ascii="Arial" w:hAnsi="Arial" w:eastAsia="Times New Roman" w:cs="Arial"/>
          <w:sz w:val="24"/>
          <w:szCs w:val="24"/>
        </w:rPr>
        <w:t>using extremist narratives and a global ideology to explain personal disadvantage</w:t>
      </w:r>
    </w:p>
    <w:p>
      <w:pPr>
        <w:pStyle w:val="53"/>
        <w:numPr>
          <w:ilvl w:val="0"/>
          <w:numId w:val="34"/>
        </w:numPr>
        <w:spacing w:after="240"/>
        <w:ind w:left="643"/>
        <w:rPr>
          <w:rFonts w:ascii="Arial" w:hAnsi="Arial" w:cs="Arial"/>
          <w:sz w:val="24"/>
          <w:szCs w:val="24"/>
        </w:rPr>
      </w:pPr>
      <w:r>
        <w:rPr>
          <w:rFonts w:ascii="Arial" w:hAnsi="Arial" w:eastAsia="Times New Roman" w:cs="Arial"/>
          <w:sz w:val="24"/>
          <w:szCs w:val="24"/>
        </w:rPr>
        <w:t>justifying the use of violence to solve societal issues</w:t>
      </w:r>
    </w:p>
    <w:p>
      <w:pPr>
        <w:pStyle w:val="53"/>
        <w:numPr>
          <w:ilvl w:val="0"/>
          <w:numId w:val="34"/>
        </w:numPr>
        <w:spacing w:after="240"/>
        <w:ind w:left="643"/>
        <w:rPr>
          <w:rFonts w:ascii="Arial" w:hAnsi="Arial" w:cs="Arial"/>
          <w:sz w:val="24"/>
          <w:szCs w:val="24"/>
        </w:rPr>
      </w:pPr>
      <w:r>
        <w:rPr>
          <w:rFonts w:ascii="Arial" w:hAnsi="Arial" w:eastAsia="Times New Roman" w:cs="Arial"/>
          <w:sz w:val="24"/>
          <w:szCs w:val="24"/>
        </w:rPr>
        <w:t>joining or seeking to join extremist organisations; and</w:t>
      </w:r>
    </w:p>
    <w:p>
      <w:pPr>
        <w:pStyle w:val="53"/>
        <w:numPr>
          <w:ilvl w:val="0"/>
          <w:numId w:val="35"/>
        </w:numPr>
        <w:spacing w:after="240"/>
        <w:ind w:left="643"/>
        <w:rPr>
          <w:rFonts w:ascii="Arial" w:hAnsi="Arial" w:cs="Arial"/>
          <w:sz w:val="24"/>
          <w:szCs w:val="24"/>
        </w:rPr>
      </w:pPr>
      <w:r>
        <w:rPr>
          <w:rFonts w:ascii="Arial" w:hAnsi="Arial" w:eastAsia="Times New Roman" w:cs="Arial"/>
          <w:sz w:val="24"/>
          <w:szCs w:val="24"/>
        </w:rPr>
        <w:t>significant changes to appearance and / or behaviour</w:t>
      </w:r>
    </w:p>
    <w:p>
      <w:pPr>
        <w:pStyle w:val="53"/>
        <w:numPr>
          <w:ilvl w:val="0"/>
          <w:numId w:val="35"/>
        </w:numPr>
        <w:spacing w:after="240"/>
        <w:ind w:left="643"/>
        <w:rPr>
          <w:rFonts w:ascii="Arial" w:hAnsi="Arial" w:cs="Arial"/>
          <w:sz w:val="24"/>
          <w:szCs w:val="24"/>
        </w:rPr>
      </w:pPr>
      <w:r>
        <w:rPr>
          <w:rFonts w:ascii="Arial" w:hAnsi="Arial" w:cs="Arial"/>
          <w:sz w:val="24"/>
          <w:szCs w:val="24"/>
        </w:rPr>
        <w:t>experiencing a high level of social isolation resulting in issues of identity crisis and / or personal crisis</w:t>
      </w:r>
    </w:p>
    <w:p>
      <w:pPr>
        <w:pStyle w:val="53"/>
        <w:spacing w:after="240"/>
        <w:rPr>
          <w:rFonts w:ascii="Arial" w:hAnsi="Arial" w:eastAsia="Times New Roman" w:cs="Arial"/>
        </w:rPr>
      </w:pPr>
    </w:p>
    <w:p>
      <w:pPr>
        <w:pStyle w:val="53"/>
        <w:spacing w:after="240"/>
        <w:ind w:left="720" w:hanging="720"/>
        <w:rPr>
          <w:rFonts w:ascii="Arial" w:hAnsi="Arial" w:cs="Arial"/>
        </w:rPr>
      </w:pPr>
    </w:p>
    <w:p>
      <w:pPr>
        <w:pStyle w:val="53"/>
        <w:spacing w:after="240"/>
        <w:rPr>
          <w:rFonts w:ascii="Arial" w:hAnsi="Arial" w:cs="Arial"/>
        </w:rPr>
      </w:pPr>
    </w:p>
    <w:p>
      <w:pPr>
        <w:spacing w:after="240" w:line="240" w:lineRule="auto"/>
        <w:rPr>
          <w:rFonts w:cs="Arial"/>
          <w:sz w:val="22"/>
          <w:szCs w:val="22"/>
        </w:rPr>
      </w:pPr>
    </w:p>
    <w:p>
      <w:pPr>
        <w:pStyle w:val="53"/>
        <w:spacing w:after="240"/>
        <w:jc w:val="center"/>
        <w:rPr>
          <w:rFonts w:ascii="Arial" w:hAnsi="Arial" w:eastAsia="Times New Roman" w:cs="Arial"/>
        </w:rPr>
      </w:pPr>
      <w:r>
        <w:rPr>
          <w:rFonts w:ascii="Arial" w:hAnsi="Arial" w:cs="Arial"/>
        </w:rPr>
        <w:br w:type="page"/>
      </w:r>
    </w:p>
    <w:p>
      <w:pPr>
        <w:pStyle w:val="3"/>
      </w:pPr>
      <w:bookmarkStart w:id="30" w:name="_Toc49500872"/>
      <w:r>
        <w:t>Appendix 5 - Female Genital Mutilation</w:t>
      </w:r>
      <w:bookmarkEnd w:id="30"/>
    </w:p>
    <w:p>
      <w:pPr>
        <w:pStyle w:val="53"/>
        <w:rPr>
          <w:rFonts w:ascii="Arial" w:hAnsi="Arial" w:eastAsia="Times New Roman" w:cs="Arial"/>
          <w:sz w:val="24"/>
          <w:szCs w:val="24"/>
        </w:rPr>
      </w:pPr>
      <w:r>
        <w:rPr>
          <w:rFonts w:ascii="Arial" w:hAnsi="Arial" w:eastAsia="Times New Roman" w:cs="Arial"/>
          <w:sz w:val="24"/>
          <w:szCs w:val="24"/>
        </w:rPr>
        <w:t>Female genital mutilation (FGM) is a procedure where the female genitals are deliberately cut, injured or changed, but where there is no medical reason for this to be done.</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It's also known as "female circumcision" or "cutting", and by other terms such as sunna, gudniin, halalays, tahur, megrez and khitan, among others.</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FGM is usually carried out on young girls between infancy and the age of 15, most commonly before puberty starts. It is illegal in the UK and is child abuse.</w:t>
      </w:r>
    </w:p>
    <w:p>
      <w:pPr>
        <w:pStyle w:val="53"/>
        <w:rPr>
          <w:rFonts w:ascii="Arial" w:hAnsi="Arial" w:eastAsia="Times New Roman" w:cs="Arial"/>
          <w:sz w:val="24"/>
          <w:szCs w:val="24"/>
        </w:rPr>
      </w:pPr>
      <w:r>
        <w:rPr>
          <w:rFonts w:ascii="Arial" w:hAnsi="Arial" w:eastAsia="Times New Roman" w:cs="Arial"/>
          <w:sz w:val="24"/>
          <w:szCs w:val="24"/>
        </w:rPr>
        <w:t>It's very painful and can seriously harm the health of women and girls. It can also cause long-term problems with sex, childbirth and mental health.</w:t>
      </w:r>
    </w:p>
    <w:p>
      <w:pPr>
        <w:pStyle w:val="53"/>
        <w:spacing w:after="240"/>
        <w:rPr>
          <w:rFonts w:ascii="Arial" w:hAnsi="Arial" w:eastAsia="Times New Roman" w:cs="Arial"/>
          <w:sz w:val="24"/>
          <w:szCs w:val="24"/>
        </w:rPr>
      </w:pPr>
    </w:p>
    <w:p>
      <w:pPr>
        <w:pStyle w:val="53"/>
        <w:rPr>
          <w:rFonts w:ascii="Arial" w:hAnsi="Arial" w:eastAsia="Times New Roman" w:cs="Arial"/>
          <w:b/>
          <w:sz w:val="24"/>
          <w:szCs w:val="24"/>
        </w:rPr>
      </w:pPr>
      <w:r>
        <w:rPr>
          <w:rFonts w:ascii="Arial" w:hAnsi="Arial" w:eastAsia="Times New Roman" w:cs="Arial"/>
          <w:b/>
          <w:sz w:val="24"/>
          <w:szCs w:val="24"/>
        </w:rPr>
        <w:t>Effects of FGM</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There are no health benefits to FGM and it can cause serious harm, including:</w:t>
      </w:r>
    </w:p>
    <w:p>
      <w:pPr>
        <w:pStyle w:val="53"/>
        <w:spacing w:after="240"/>
        <w:rPr>
          <w:rFonts w:ascii="Arial" w:hAnsi="Arial" w:eastAsia="Times New Roman" w:cs="Arial"/>
          <w:sz w:val="24"/>
          <w:szCs w:val="24"/>
        </w:rPr>
      </w:pP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constant pain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pain and/or difficulty having sex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repeated infections, which can lead to infertility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bleeding, cysts and abscesses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problems passing urine or incontinence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depression, flashbacks and self-harm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problems during labour and childbirth, which can be life-threatening for mother and baby</w:t>
      </w:r>
    </w:p>
    <w:p>
      <w:pPr>
        <w:pStyle w:val="53"/>
        <w:spacing w:after="240"/>
        <w:rPr>
          <w:rFonts w:ascii="Arial" w:hAnsi="Arial" w:eastAsia="Times New Roman" w:cs="Arial"/>
          <w:sz w:val="24"/>
          <w:szCs w:val="24"/>
        </w:rPr>
      </w:pPr>
    </w:p>
    <w:p>
      <w:pPr>
        <w:pStyle w:val="53"/>
        <w:spacing w:after="240"/>
        <w:rPr>
          <w:rFonts w:ascii="Arial" w:hAnsi="Arial" w:cs="Arial"/>
          <w:sz w:val="24"/>
          <w:szCs w:val="24"/>
          <w:lang w:val="en"/>
        </w:rPr>
      </w:pPr>
      <w:r>
        <w:rPr>
          <w:rFonts w:ascii="Arial" w:hAnsi="Arial" w:cs="Arial"/>
          <w:sz w:val="24"/>
          <w:szCs w:val="24"/>
          <w:lang w:val="en"/>
        </w:rPr>
        <w:t>Some girls die from blood loss or infection as a direct result of the procedure</w:t>
      </w:r>
    </w:p>
    <w:p>
      <w:pPr>
        <w:pStyle w:val="53"/>
        <w:spacing w:after="240"/>
        <w:rPr>
          <w:rFonts w:ascii="Arial" w:hAnsi="Arial" w:cs="Arial"/>
          <w:sz w:val="24"/>
          <w:szCs w:val="24"/>
          <w:lang w:val="en"/>
        </w:rPr>
      </w:pPr>
    </w:p>
    <w:p>
      <w:pPr>
        <w:pStyle w:val="53"/>
        <w:spacing w:after="240"/>
        <w:rPr>
          <w:rFonts w:ascii="Arial" w:hAnsi="Arial" w:cs="Arial"/>
          <w:b/>
          <w:sz w:val="24"/>
          <w:szCs w:val="24"/>
          <w:lang w:val="en"/>
        </w:rPr>
      </w:pPr>
      <w:r>
        <w:rPr>
          <w:rFonts w:ascii="Arial" w:hAnsi="Arial" w:cs="Arial"/>
          <w:b/>
          <w:sz w:val="24"/>
          <w:szCs w:val="24"/>
          <w:lang w:val="en"/>
        </w:rPr>
        <w:t>Why FGM is carried out?</w:t>
      </w:r>
    </w:p>
    <w:p>
      <w:pPr>
        <w:pStyle w:val="53"/>
        <w:rPr>
          <w:rFonts w:ascii="Arial" w:hAnsi="Arial" w:cs="Arial"/>
          <w:sz w:val="24"/>
          <w:szCs w:val="24"/>
          <w:lang w:val="en"/>
        </w:rPr>
      </w:pPr>
      <w:r>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pPr>
        <w:pStyle w:val="53"/>
        <w:rPr>
          <w:rFonts w:ascii="Arial" w:hAnsi="Arial" w:cs="Arial"/>
          <w:sz w:val="24"/>
          <w:szCs w:val="24"/>
          <w:lang w:val="en"/>
        </w:rPr>
      </w:pPr>
      <w:r>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pPr>
        <w:pStyle w:val="53"/>
        <w:spacing w:after="240"/>
        <w:rPr>
          <w:rFonts w:ascii="Arial" w:hAnsi="Arial" w:cs="Arial"/>
          <w:sz w:val="24"/>
          <w:szCs w:val="24"/>
          <w:lang w:val="en"/>
        </w:rPr>
      </w:pPr>
      <w:r>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pPr>
        <w:pStyle w:val="53"/>
        <w:spacing w:after="240"/>
        <w:rPr>
          <w:rFonts w:ascii="Arial" w:hAnsi="Arial" w:cs="Arial"/>
          <w:sz w:val="24"/>
          <w:szCs w:val="24"/>
          <w:lang w:val="en"/>
        </w:rPr>
      </w:pPr>
    </w:p>
    <w:p>
      <w:pPr>
        <w:rPr>
          <w:b/>
        </w:rPr>
      </w:pPr>
      <w:r>
        <w:rPr>
          <w:b/>
        </w:rPr>
        <w:t>Where FGM is carried out?</w:t>
      </w:r>
    </w:p>
    <w:p>
      <w:pPr>
        <w:pStyle w:val="53"/>
        <w:rPr>
          <w:rFonts w:ascii="Arial" w:hAnsi="Arial" w:eastAsia="Times New Roman" w:cs="Arial"/>
          <w:sz w:val="24"/>
          <w:szCs w:val="24"/>
        </w:rPr>
      </w:pPr>
      <w:r>
        <w:rPr>
          <w:rFonts w:ascii="Arial" w:hAnsi="Arial" w:eastAsia="Times New Roman"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Communities at particular risk of FGM in the UK originate from:</w:t>
      </w:r>
    </w:p>
    <w:p>
      <w:pPr>
        <w:pStyle w:val="53"/>
        <w:spacing w:after="240"/>
        <w:rPr>
          <w:rFonts w:ascii="Arial" w:hAnsi="Arial" w:eastAsia="Times New Roman" w:cs="Arial"/>
          <w:sz w:val="24"/>
          <w:szCs w:val="24"/>
        </w:rPr>
      </w:pPr>
    </w:p>
    <w:p>
      <w:pPr>
        <w:pStyle w:val="53"/>
        <w:spacing w:after="240"/>
        <w:rPr>
          <w:rFonts w:ascii="Arial" w:hAnsi="Arial" w:eastAsia="Times New Roman" w:cs="Arial"/>
          <w:sz w:val="24"/>
          <w:szCs w:val="24"/>
        </w:rPr>
      </w:pPr>
      <w:r>
        <w:rPr>
          <w:rFonts w:ascii="Arial" w:hAnsi="Arial" w:eastAsia="Times New Roman" w:cs="Arial"/>
          <w:sz w:val="24"/>
          <w:szCs w:val="24"/>
        </w:rPr>
        <w:t xml:space="preserve">Egypt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Yemen</w:t>
      </w:r>
      <w:r>
        <w:rPr>
          <w:rFonts w:ascii="Arial" w:hAnsi="Arial" w:eastAsia="Times New Roman" w:cs="Arial"/>
          <w:sz w:val="24"/>
          <w:szCs w:val="24"/>
        </w:rPr>
        <w:tab/>
      </w:r>
      <w:r>
        <w:rPr>
          <w:rFonts w:ascii="Arial" w:hAnsi="Arial" w:eastAsia="Times New Roman" w:cs="Arial"/>
          <w:sz w:val="24"/>
          <w:szCs w:val="24"/>
        </w:rPr>
        <w:t xml:space="preserve">Eritrea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 xml:space="preserve">Sudan </w:t>
      </w:r>
    </w:p>
    <w:p>
      <w:pPr>
        <w:pStyle w:val="53"/>
        <w:spacing w:after="240"/>
        <w:rPr>
          <w:rFonts w:ascii="Arial" w:hAnsi="Arial" w:eastAsia="Times New Roman" w:cs="Arial"/>
          <w:sz w:val="24"/>
          <w:szCs w:val="24"/>
        </w:rPr>
      </w:pPr>
      <w:r>
        <w:rPr>
          <w:rFonts w:ascii="Arial" w:hAnsi="Arial" w:eastAsia="Times New Roman" w:cs="Arial"/>
          <w:sz w:val="24"/>
          <w:szCs w:val="24"/>
        </w:rPr>
        <w:t xml:space="preserve">Ethiopia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Somalia</w:t>
      </w:r>
      <w:r>
        <w:rPr>
          <w:rFonts w:ascii="Arial" w:hAnsi="Arial" w:eastAsia="Times New Roman" w:cs="Arial"/>
          <w:sz w:val="24"/>
          <w:szCs w:val="24"/>
        </w:rPr>
        <w:tab/>
      </w:r>
      <w:r>
        <w:rPr>
          <w:rFonts w:ascii="Arial" w:hAnsi="Arial" w:eastAsia="Times New Roman" w:cs="Arial"/>
          <w:sz w:val="24"/>
          <w:szCs w:val="24"/>
        </w:rPr>
        <w:t xml:space="preserve">Gambia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 xml:space="preserve">Sierra Leone </w:t>
      </w:r>
    </w:p>
    <w:p>
      <w:pPr>
        <w:pStyle w:val="53"/>
        <w:spacing w:after="240"/>
        <w:rPr>
          <w:rFonts w:ascii="Arial" w:hAnsi="Arial" w:eastAsia="Times New Roman" w:cs="Arial"/>
          <w:sz w:val="24"/>
          <w:szCs w:val="24"/>
        </w:rPr>
      </w:pPr>
      <w:r>
        <w:rPr>
          <w:rFonts w:ascii="Arial" w:hAnsi="Arial" w:eastAsia="Times New Roman" w:cs="Arial"/>
          <w:sz w:val="24"/>
          <w:szCs w:val="24"/>
        </w:rPr>
        <w:t xml:space="preserve">Guinea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 xml:space="preserve">Nigeria </w:t>
      </w:r>
      <w:r>
        <w:rPr>
          <w:rFonts w:ascii="Arial" w:hAnsi="Arial" w:eastAsia="Times New Roman" w:cs="Arial"/>
          <w:sz w:val="24"/>
          <w:szCs w:val="24"/>
        </w:rPr>
        <w:tab/>
      </w:r>
      <w:r>
        <w:rPr>
          <w:rFonts w:ascii="Arial" w:hAnsi="Arial" w:eastAsia="Times New Roman" w:cs="Arial"/>
          <w:sz w:val="24"/>
          <w:szCs w:val="24"/>
        </w:rPr>
        <w:t xml:space="preserve">Indonesia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Mali</w:t>
      </w:r>
    </w:p>
    <w:p>
      <w:pPr>
        <w:pStyle w:val="53"/>
        <w:spacing w:after="240"/>
        <w:rPr>
          <w:rFonts w:ascii="Arial" w:hAnsi="Arial" w:eastAsia="Times New Roman" w:cs="Arial"/>
          <w:sz w:val="24"/>
          <w:szCs w:val="24"/>
        </w:rPr>
      </w:pPr>
      <w:r>
        <w:rPr>
          <w:rFonts w:ascii="Arial" w:hAnsi="Arial" w:eastAsia="Times New Roman" w:cs="Arial"/>
          <w:sz w:val="24"/>
          <w:szCs w:val="24"/>
        </w:rPr>
        <w:t xml:space="preserve">Ivory Coast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Malaysia</w:t>
      </w:r>
      <w:r>
        <w:rPr>
          <w:rFonts w:ascii="Arial" w:hAnsi="Arial" w:eastAsia="Times New Roman" w:cs="Arial"/>
          <w:sz w:val="24"/>
          <w:szCs w:val="24"/>
        </w:rPr>
        <w:tab/>
      </w:r>
      <w:r>
        <w:rPr>
          <w:rFonts w:ascii="Arial" w:hAnsi="Arial" w:eastAsia="Times New Roman" w:cs="Arial"/>
          <w:sz w:val="24"/>
          <w:szCs w:val="24"/>
        </w:rPr>
        <w:t xml:space="preserve">Kenya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Liberia</w:t>
      </w:r>
    </w:p>
    <w:p>
      <w:pPr>
        <w:pStyle w:val="53"/>
        <w:spacing w:after="240"/>
        <w:rPr>
          <w:rFonts w:ascii="Arial" w:hAnsi="Arial" w:eastAsia="Times New Roman" w:cs="Arial"/>
          <w:sz w:val="24"/>
          <w:szCs w:val="24"/>
        </w:rPr>
      </w:pPr>
    </w:p>
    <w:p>
      <w:pPr>
        <w:pStyle w:val="53"/>
        <w:spacing w:after="240"/>
        <w:rPr>
          <w:rFonts w:ascii="Arial" w:hAnsi="Arial" w:eastAsia="Times New Roman" w:cs="Arial"/>
          <w:b/>
          <w:sz w:val="24"/>
          <w:szCs w:val="24"/>
        </w:rPr>
      </w:pPr>
      <w:r>
        <w:rPr>
          <w:rFonts w:ascii="Arial" w:hAnsi="Arial" w:eastAsia="Times New Roman" w:cs="Arial"/>
          <w:b/>
          <w:sz w:val="24"/>
          <w:szCs w:val="24"/>
        </w:rPr>
        <w:t>The law and FGM</w:t>
      </w:r>
    </w:p>
    <w:p>
      <w:pPr>
        <w:pStyle w:val="53"/>
        <w:rPr>
          <w:rFonts w:ascii="Arial" w:hAnsi="Arial" w:eastAsia="Times New Roman" w:cs="Arial"/>
          <w:sz w:val="24"/>
          <w:szCs w:val="24"/>
        </w:rPr>
      </w:pPr>
      <w:r>
        <w:rPr>
          <w:rFonts w:ascii="Arial" w:hAnsi="Arial" w:eastAsia="Times New Roman" w:cs="Arial"/>
          <w:sz w:val="24"/>
          <w:szCs w:val="24"/>
        </w:rPr>
        <w:t>FGM is illegal in the UK.</w:t>
      </w:r>
    </w:p>
    <w:p>
      <w:pPr>
        <w:pStyle w:val="53"/>
        <w:rPr>
          <w:rFonts w:ascii="Arial" w:hAnsi="Arial" w:eastAsia="Times New Roman" w:cs="Arial"/>
          <w:sz w:val="24"/>
          <w:szCs w:val="24"/>
        </w:rPr>
      </w:pPr>
    </w:p>
    <w:p>
      <w:pPr>
        <w:pStyle w:val="53"/>
        <w:rPr>
          <w:rFonts w:ascii="Arial" w:hAnsi="Arial" w:eastAsia="Times New Roman" w:cs="Arial"/>
          <w:sz w:val="24"/>
          <w:szCs w:val="24"/>
        </w:rPr>
      </w:pPr>
      <w:r>
        <w:rPr>
          <w:rFonts w:ascii="Arial" w:hAnsi="Arial" w:eastAsia="Times New Roman" w:cs="Arial"/>
          <w:sz w:val="24"/>
          <w:szCs w:val="24"/>
        </w:rPr>
        <w:t>It is an offence to:</w:t>
      </w:r>
    </w:p>
    <w:p>
      <w:pPr>
        <w:pStyle w:val="53"/>
        <w:spacing w:after="240"/>
        <w:rPr>
          <w:rFonts w:ascii="Arial" w:hAnsi="Arial" w:eastAsia="Times New Roman" w:cs="Arial"/>
          <w:sz w:val="24"/>
          <w:szCs w:val="24"/>
        </w:rPr>
      </w:pP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perform FGM (including taking a child abroad for FGM)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help a girl perform FGM on herself in or outside the UK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help anyone perform FGM in the UK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 xml:space="preserve">help anyone perform FGM outside the UK on a UK national or resident </w:t>
      </w:r>
    </w:p>
    <w:p>
      <w:pPr>
        <w:pStyle w:val="53"/>
        <w:spacing w:after="240"/>
        <w:ind w:left="283"/>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fail to protect a girl for whom you are responsible from FGM</w:t>
      </w:r>
    </w:p>
    <w:p>
      <w:pPr>
        <w:pStyle w:val="53"/>
        <w:rPr>
          <w:rFonts w:ascii="Arial" w:hAnsi="Arial" w:eastAsia="Times New Roman" w:cs="Arial"/>
          <w:sz w:val="24"/>
          <w:szCs w:val="24"/>
        </w:rPr>
      </w:pPr>
    </w:p>
    <w:p>
      <w:pPr>
        <w:pStyle w:val="53"/>
        <w:spacing w:after="240"/>
        <w:rPr>
          <w:rFonts w:ascii="Arial" w:hAnsi="Arial" w:eastAsia="Times New Roman" w:cs="Arial"/>
          <w:sz w:val="24"/>
          <w:szCs w:val="24"/>
        </w:rPr>
      </w:pPr>
      <w:r>
        <w:rPr>
          <w:rFonts w:ascii="Arial" w:hAnsi="Arial" w:eastAsia="Times New Roman" w:cs="Arial"/>
          <w:sz w:val="24"/>
          <w:szCs w:val="24"/>
        </w:rPr>
        <w:t>Anyone who performs FGM can face up to 14 years in prison. Anyone found guilty of failing to protect a girl from FGM can face up to seven years in prison.</w:t>
      </w:r>
    </w:p>
    <w:p>
      <w:pPr>
        <w:pStyle w:val="53"/>
        <w:spacing w:after="240"/>
        <w:rPr>
          <w:rFonts w:ascii="Arial" w:hAnsi="Arial" w:eastAsia="Times New Roman" w:cs="Arial"/>
          <w:sz w:val="24"/>
          <w:szCs w:val="24"/>
        </w:rPr>
      </w:pPr>
      <w:r>
        <w:rPr>
          <w:rFonts w:ascii="Arial" w:hAnsi="Arial" w:eastAsia="Times New Roman" w:cs="Arial"/>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pPr>
        <w:pStyle w:val="53"/>
        <w:spacing w:after="240"/>
        <w:rPr>
          <w:rFonts w:ascii="Arial" w:hAnsi="Arial" w:eastAsia="Times New Roman" w:cs="Arial"/>
          <w:sz w:val="24"/>
          <w:szCs w:val="24"/>
        </w:rPr>
      </w:pPr>
    </w:p>
    <w:p>
      <w:pPr>
        <w:spacing w:after="0"/>
        <w:rPr>
          <w:rFonts w:cs="Arial"/>
          <w:b/>
          <w:szCs w:val="24"/>
        </w:rPr>
      </w:pPr>
      <w:r>
        <w:rPr>
          <w:rFonts w:cs="Arial"/>
          <w:b/>
          <w:szCs w:val="24"/>
        </w:rPr>
        <w:t>Possible signs and indicators of FGM</w:t>
      </w:r>
    </w:p>
    <w:p>
      <w:pPr>
        <w:spacing w:after="0" w:line="240" w:lineRule="auto"/>
        <w:rPr>
          <w:szCs w:val="24"/>
        </w:rPr>
      </w:pPr>
      <w:r>
        <w:rPr>
          <w:szCs w:val="24"/>
        </w:rPr>
        <w:t>A girl or woman who's had FGM may:</w:t>
      </w:r>
    </w:p>
    <w:p>
      <w:pPr>
        <w:spacing w:after="0" w:line="240" w:lineRule="auto"/>
        <w:rPr>
          <w:szCs w:val="24"/>
        </w:rPr>
      </w:pPr>
    </w:p>
    <w:p>
      <w:pPr>
        <w:pStyle w:val="62"/>
        <w:numPr>
          <w:ilvl w:val="0"/>
          <w:numId w:val="36"/>
        </w:numPr>
        <w:spacing w:after="120" w:line="240" w:lineRule="auto"/>
        <w:ind w:left="283"/>
        <w:rPr>
          <w:szCs w:val="24"/>
        </w:rPr>
      </w:pPr>
      <w:r>
        <w:rPr>
          <w:szCs w:val="24"/>
        </w:rPr>
        <w:t>have difficulty walking, sitting or standing</w:t>
      </w:r>
    </w:p>
    <w:p>
      <w:pPr>
        <w:pStyle w:val="62"/>
        <w:numPr>
          <w:ilvl w:val="0"/>
          <w:numId w:val="36"/>
        </w:numPr>
        <w:spacing w:after="120" w:line="240" w:lineRule="auto"/>
        <w:ind w:left="283"/>
        <w:rPr>
          <w:szCs w:val="24"/>
        </w:rPr>
      </w:pPr>
      <w:r>
        <w:rPr>
          <w:szCs w:val="24"/>
        </w:rPr>
        <w:t>spend longer than normal in the bathroom or toilet</w:t>
      </w:r>
    </w:p>
    <w:p>
      <w:pPr>
        <w:pStyle w:val="62"/>
        <w:numPr>
          <w:ilvl w:val="0"/>
          <w:numId w:val="36"/>
        </w:numPr>
        <w:spacing w:after="120" w:line="240" w:lineRule="auto"/>
        <w:ind w:left="283"/>
        <w:rPr>
          <w:szCs w:val="24"/>
        </w:rPr>
      </w:pPr>
      <w:r>
        <w:rPr>
          <w:szCs w:val="24"/>
        </w:rPr>
        <w:t>have unusual behaviour after an absence from school or college</w:t>
      </w:r>
    </w:p>
    <w:p>
      <w:pPr>
        <w:pStyle w:val="62"/>
        <w:numPr>
          <w:ilvl w:val="0"/>
          <w:numId w:val="36"/>
        </w:numPr>
        <w:spacing w:after="120" w:line="240" w:lineRule="auto"/>
        <w:ind w:left="283"/>
        <w:rPr>
          <w:szCs w:val="24"/>
        </w:rPr>
      </w:pPr>
      <w:r>
        <w:rPr>
          <w:szCs w:val="24"/>
        </w:rPr>
        <w:t>be particularly reluctant to undergo normal medical examinations</w:t>
      </w:r>
    </w:p>
    <w:p>
      <w:pPr>
        <w:pStyle w:val="62"/>
        <w:numPr>
          <w:ilvl w:val="0"/>
          <w:numId w:val="36"/>
        </w:numPr>
        <w:spacing w:after="120" w:line="240" w:lineRule="auto"/>
        <w:ind w:left="283"/>
        <w:rPr>
          <w:szCs w:val="24"/>
        </w:rPr>
      </w:pPr>
      <w:r>
        <w:rPr>
          <w:szCs w:val="24"/>
        </w:rPr>
        <w:t>ask for help, but may not be explicit about the problem due to embarrassment or fear.</w:t>
      </w:r>
    </w:p>
    <w:p>
      <w:pPr>
        <w:spacing w:after="120"/>
        <w:ind w:left="283"/>
        <w:rPr>
          <w:szCs w:val="24"/>
        </w:rPr>
      </w:pPr>
    </w:p>
    <w:p>
      <w:pPr>
        <w:spacing w:after="240"/>
        <w:rPr>
          <w:szCs w:val="24"/>
        </w:rPr>
      </w:pPr>
      <w:r>
        <w:rPr>
          <w:szCs w:val="24"/>
        </w:rPr>
        <w:t>Below are some warning signs that MAY indicate a girl is at risk of FGM:</w:t>
      </w:r>
    </w:p>
    <w:p>
      <w:pPr>
        <w:pStyle w:val="62"/>
        <w:numPr>
          <w:ilvl w:val="0"/>
          <w:numId w:val="37"/>
        </w:numPr>
        <w:spacing w:after="240" w:line="240" w:lineRule="auto"/>
        <w:ind w:left="640" w:hanging="357"/>
        <w:rPr>
          <w:szCs w:val="24"/>
        </w:rPr>
      </w:pPr>
      <w:r>
        <w:rPr>
          <w:szCs w:val="24"/>
        </w:rPr>
        <w:t>parents requesting additional periods of leave around school holiday times</w:t>
      </w:r>
    </w:p>
    <w:p>
      <w:pPr>
        <w:pStyle w:val="62"/>
        <w:numPr>
          <w:ilvl w:val="0"/>
          <w:numId w:val="37"/>
        </w:numPr>
        <w:spacing w:after="240" w:line="240" w:lineRule="auto"/>
        <w:ind w:left="640" w:hanging="357"/>
        <w:rPr>
          <w:szCs w:val="24"/>
        </w:rPr>
      </w:pPr>
      <w:r>
        <w:rPr>
          <w:szCs w:val="24"/>
        </w:rPr>
        <w:t>if the girl comes from a country with a high prevalence of FGM</w:t>
      </w:r>
    </w:p>
    <w:p>
      <w:pPr>
        <w:pStyle w:val="62"/>
        <w:numPr>
          <w:ilvl w:val="0"/>
          <w:numId w:val="37"/>
        </w:numPr>
        <w:spacing w:after="240" w:line="240" w:lineRule="auto"/>
        <w:ind w:left="640" w:hanging="357"/>
        <w:rPr>
          <w:szCs w:val="24"/>
        </w:rPr>
      </w:pPr>
      <w:r>
        <w:rPr>
          <w:szCs w:val="24"/>
        </w:rPr>
        <w:t>mother and siblings have undergone FGM</w:t>
      </w:r>
    </w:p>
    <w:p>
      <w:pPr>
        <w:pStyle w:val="62"/>
        <w:numPr>
          <w:ilvl w:val="0"/>
          <w:numId w:val="37"/>
        </w:numPr>
        <w:spacing w:after="240" w:line="240" w:lineRule="auto"/>
        <w:ind w:left="640" w:hanging="357"/>
        <w:rPr>
          <w:szCs w:val="24"/>
        </w:rPr>
      </w:pPr>
      <w:r>
        <w:rPr>
          <w:szCs w:val="24"/>
        </w:rPr>
        <w:t>child may indicate that they are going for a special event</w:t>
      </w:r>
    </w:p>
    <w:p>
      <w:pPr>
        <w:spacing w:after="240"/>
        <w:rPr>
          <w:szCs w:val="24"/>
        </w:rPr>
      </w:pPr>
      <w:r>
        <w:rPr>
          <w:szCs w:val="24"/>
        </w:rPr>
        <w:t xml:space="preserve">Further </w:t>
      </w:r>
      <w:r>
        <w:fldChar w:fldCharType="begin"/>
      </w:r>
      <w:r>
        <w:instrText xml:space="preserve"> HYPERLINK "https://www.gov.uk/government/publications/multi-agency-statutory-guidance-on-female-genital-mutilation" </w:instrText>
      </w:r>
      <w:r>
        <w:fldChar w:fldCharType="separate"/>
      </w:r>
      <w:r>
        <w:rPr>
          <w:rStyle w:val="26"/>
          <w:szCs w:val="24"/>
        </w:rPr>
        <w:t>FGM guidance</w:t>
      </w:r>
      <w:r>
        <w:rPr>
          <w:rStyle w:val="26"/>
          <w:szCs w:val="24"/>
        </w:rPr>
        <w:fldChar w:fldCharType="end"/>
      </w:r>
      <w:r>
        <w:rPr>
          <w:szCs w:val="24"/>
        </w:rPr>
        <w:t xml:space="preserve"> information can be obtained from: </w:t>
      </w:r>
    </w:p>
    <w:p>
      <w:pPr>
        <w:spacing w:after="240"/>
        <w:rPr>
          <w:szCs w:val="24"/>
        </w:rPr>
      </w:pPr>
      <w:r>
        <w:rPr>
          <w:szCs w:val="24"/>
        </w:rPr>
        <w:t xml:space="preserve"> </w:t>
      </w:r>
    </w:p>
    <w:p>
      <w:pPr>
        <w:spacing w:after="240"/>
        <w:rPr>
          <w:szCs w:val="24"/>
        </w:rPr>
      </w:pPr>
    </w:p>
    <w:p>
      <w:pPr>
        <w:spacing w:after="240"/>
        <w:rPr>
          <w:szCs w:val="24"/>
        </w:rPr>
      </w:pPr>
    </w:p>
    <w:p>
      <w:pPr>
        <w:spacing w:after="240"/>
        <w:rPr>
          <w:szCs w:val="24"/>
        </w:rPr>
      </w:pPr>
    </w:p>
    <w:p>
      <w:pPr>
        <w:spacing w:after="240"/>
        <w:rPr>
          <w:szCs w:val="24"/>
        </w:rPr>
      </w:pPr>
    </w:p>
    <w:p>
      <w:pPr>
        <w:spacing w:after="240"/>
        <w:rPr>
          <w:szCs w:val="24"/>
        </w:rPr>
      </w:pPr>
    </w:p>
    <w:p>
      <w:pPr>
        <w:spacing w:after="240"/>
        <w:rPr>
          <w:szCs w:val="24"/>
        </w:rPr>
      </w:pPr>
    </w:p>
    <w:p>
      <w:pPr>
        <w:spacing w:after="240"/>
        <w:rPr>
          <w:szCs w:val="24"/>
        </w:rPr>
      </w:pPr>
    </w:p>
    <w:p>
      <w:pPr>
        <w:spacing w:after="240" w:line="240" w:lineRule="auto"/>
        <w:jc w:val="right"/>
        <w:rPr>
          <w:rFonts w:cs="Arial"/>
          <w:b/>
          <w:bCs/>
          <w:sz w:val="22"/>
          <w:szCs w:val="22"/>
        </w:rPr>
      </w:pPr>
    </w:p>
    <w:p>
      <w:pPr>
        <w:spacing w:after="240" w:line="240" w:lineRule="auto"/>
        <w:jc w:val="right"/>
        <w:rPr>
          <w:rFonts w:cs="Arial"/>
          <w:b/>
          <w:bCs/>
          <w:sz w:val="22"/>
          <w:szCs w:val="22"/>
        </w:rPr>
      </w:pPr>
    </w:p>
    <w:p>
      <w:pPr>
        <w:spacing w:after="240" w:line="240" w:lineRule="auto"/>
        <w:jc w:val="right"/>
        <w:rPr>
          <w:rFonts w:cs="Arial"/>
          <w:b/>
          <w:bCs/>
          <w:sz w:val="22"/>
          <w:szCs w:val="22"/>
        </w:rPr>
      </w:pPr>
    </w:p>
    <w:p>
      <w:pPr>
        <w:spacing w:after="240" w:line="240" w:lineRule="auto"/>
        <w:jc w:val="right"/>
        <w:rPr>
          <w:rFonts w:cs="Arial"/>
          <w:b/>
          <w:bCs/>
          <w:sz w:val="22"/>
          <w:szCs w:val="22"/>
        </w:rPr>
      </w:pPr>
    </w:p>
    <w:p>
      <w:pPr>
        <w:spacing w:after="240" w:line="240" w:lineRule="auto"/>
        <w:jc w:val="right"/>
        <w:rPr>
          <w:rFonts w:cs="Arial"/>
          <w:b/>
          <w:bCs/>
          <w:sz w:val="22"/>
          <w:szCs w:val="22"/>
        </w:rPr>
      </w:pPr>
    </w:p>
    <w:p>
      <w:pPr>
        <w:spacing w:after="240" w:line="240" w:lineRule="auto"/>
        <w:jc w:val="right"/>
        <w:rPr>
          <w:rFonts w:cs="Arial"/>
          <w:b/>
          <w:bCs/>
          <w:sz w:val="22"/>
          <w:szCs w:val="22"/>
        </w:rPr>
      </w:pPr>
    </w:p>
    <w:p>
      <w:pPr>
        <w:spacing w:after="240" w:line="240" w:lineRule="auto"/>
        <w:jc w:val="right"/>
        <w:rPr>
          <w:rFonts w:cs="Arial"/>
          <w:b/>
          <w:bCs/>
          <w:sz w:val="22"/>
          <w:szCs w:val="22"/>
        </w:rPr>
      </w:pPr>
    </w:p>
    <w:p>
      <w:pPr>
        <w:pStyle w:val="3"/>
      </w:pPr>
      <w:bookmarkStart w:id="31" w:name="_Toc49500873"/>
      <w:r>
        <w:t>Appendix 6 - Youth produced sexual imagery</w:t>
      </w:r>
      <w:bookmarkEnd w:id="31"/>
    </w:p>
    <w:p>
      <w:pPr>
        <w:spacing w:after="240" w:line="240" w:lineRule="auto"/>
        <w:rPr>
          <w:rFonts w:cs="Arial"/>
          <w:bCs/>
          <w:szCs w:val="24"/>
        </w:rPr>
      </w:pPr>
      <w:r>
        <w:rPr>
          <w:rFonts w:cs="Arial"/>
          <w:bCs/>
          <w:szCs w:val="24"/>
        </w:rPr>
        <w:t>Youth produced sexual imagery is the sending or posting sexually suggestive images, including nude or semi-nude photographs via mobile devices or the internet by under 18s.</w:t>
      </w:r>
    </w:p>
    <w:p>
      <w:pPr>
        <w:spacing w:after="240" w:line="240" w:lineRule="auto"/>
        <w:rPr>
          <w:rFonts w:cs="Arial"/>
          <w:szCs w:val="24"/>
        </w:rPr>
      </w:pPr>
      <w:r>
        <w:rPr>
          <w:rFonts w:cs="Arial"/>
          <w:b/>
          <w:bCs/>
          <w:szCs w:val="24"/>
        </w:rPr>
        <w:t>It does include:</w:t>
      </w:r>
    </w:p>
    <w:p>
      <w:pPr>
        <w:numPr>
          <w:ilvl w:val="0"/>
          <w:numId w:val="38"/>
        </w:numPr>
        <w:spacing w:after="240" w:line="240" w:lineRule="auto"/>
        <w:ind w:left="643"/>
        <w:rPr>
          <w:rFonts w:cs="Arial"/>
          <w:szCs w:val="24"/>
        </w:rPr>
      </w:pPr>
      <w:r>
        <w:rPr>
          <w:rFonts w:cs="Arial"/>
          <w:szCs w:val="24"/>
        </w:rPr>
        <w:t>person under 18 creating a sexual image of themselves and sharing it with another person under 18</w:t>
      </w:r>
    </w:p>
    <w:p>
      <w:pPr>
        <w:numPr>
          <w:ilvl w:val="0"/>
          <w:numId w:val="38"/>
        </w:numPr>
        <w:spacing w:after="240" w:line="240" w:lineRule="auto"/>
        <w:ind w:left="643"/>
        <w:rPr>
          <w:rFonts w:cs="Arial"/>
          <w:szCs w:val="24"/>
        </w:rPr>
      </w:pPr>
      <w:r>
        <w:rPr>
          <w:rFonts w:cs="Arial"/>
          <w:szCs w:val="24"/>
        </w:rPr>
        <w:t>a person under 18 sharing an image of another under 18 with another person under 18 or an adult</w:t>
      </w:r>
    </w:p>
    <w:p>
      <w:pPr>
        <w:numPr>
          <w:ilvl w:val="0"/>
          <w:numId w:val="38"/>
        </w:numPr>
        <w:spacing w:after="240" w:line="240" w:lineRule="auto"/>
        <w:ind w:left="643"/>
        <w:rPr>
          <w:rFonts w:cs="Arial"/>
          <w:szCs w:val="24"/>
        </w:rPr>
      </w:pPr>
      <w:r>
        <w:rPr>
          <w:rFonts w:cs="Arial"/>
          <w:szCs w:val="24"/>
        </w:rPr>
        <w:t>a person under 18 in possession of sexual imagery created by another person under 18.</w:t>
      </w:r>
    </w:p>
    <w:p>
      <w:pPr>
        <w:spacing w:after="240" w:line="240" w:lineRule="auto"/>
        <w:rPr>
          <w:rFonts w:cs="Arial"/>
          <w:szCs w:val="24"/>
        </w:rPr>
      </w:pPr>
      <w:r>
        <w:rPr>
          <w:rFonts w:cs="Arial"/>
          <w:b/>
          <w:bCs/>
          <w:szCs w:val="24"/>
        </w:rPr>
        <w:t>It does not include:</w:t>
      </w:r>
    </w:p>
    <w:p>
      <w:pPr>
        <w:numPr>
          <w:ilvl w:val="0"/>
          <w:numId w:val="39"/>
        </w:numPr>
        <w:spacing w:after="240" w:line="240" w:lineRule="auto"/>
        <w:ind w:left="643"/>
        <w:rPr>
          <w:rFonts w:cs="Arial"/>
          <w:szCs w:val="24"/>
        </w:rPr>
      </w:pPr>
      <w:r>
        <w:rPr>
          <w:rFonts w:cs="Arial"/>
          <w:szCs w:val="24"/>
        </w:rPr>
        <w:t>a person under 18 sharing adult pornography</w:t>
      </w:r>
    </w:p>
    <w:p>
      <w:pPr>
        <w:numPr>
          <w:ilvl w:val="0"/>
          <w:numId w:val="39"/>
        </w:numPr>
        <w:spacing w:after="240" w:line="240" w:lineRule="auto"/>
        <w:ind w:left="643"/>
        <w:rPr>
          <w:rFonts w:cs="Arial"/>
          <w:szCs w:val="24"/>
        </w:rPr>
      </w:pPr>
      <w:r>
        <w:rPr>
          <w:rFonts w:cs="Arial"/>
          <w:szCs w:val="24"/>
        </w:rPr>
        <w:t>a person under 18 sharing sexual texts without sexual imagery</w:t>
      </w:r>
    </w:p>
    <w:p>
      <w:pPr>
        <w:numPr>
          <w:ilvl w:val="0"/>
          <w:numId w:val="39"/>
        </w:numPr>
        <w:spacing w:after="240" w:line="240" w:lineRule="auto"/>
        <w:ind w:left="643"/>
        <w:rPr>
          <w:rFonts w:cs="Arial"/>
          <w:szCs w:val="24"/>
        </w:rPr>
      </w:pPr>
      <w:r>
        <w:rPr>
          <w:rFonts w:cs="Arial"/>
          <w:szCs w:val="24"/>
        </w:rPr>
        <w:t>adults sharing sexual imagery of under 18s. (This is child sexual abuse and must always be reported to police.)</w:t>
      </w:r>
    </w:p>
    <w:p>
      <w:pPr>
        <w:spacing w:after="240" w:line="240" w:lineRule="auto"/>
        <w:rPr>
          <w:rFonts w:cs="Arial"/>
          <w:szCs w:val="24"/>
        </w:rPr>
      </w:pPr>
      <w:r>
        <w:rPr>
          <w:rFonts w:cs="Arial"/>
          <w:b/>
          <w:bCs/>
          <w:szCs w:val="24"/>
        </w:rPr>
        <w:t>The Law</w:t>
      </w:r>
    </w:p>
    <w:p>
      <w:pPr>
        <w:spacing w:after="240" w:line="240" w:lineRule="auto"/>
        <w:rPr>
          <w:rFonts w:cs="Arial"/>
          <w:szCs w:val="24"/>
        </w:rPr>
      </w:pPr>
      <w:r>
        <w:rPr>
          <w:rFonts w:cs="Arial"/>
          <w:i/>
          <w:iCs/>
          <w:szCs w:val="24"/>
        </w:rPr>
        <w:t>Making, possessing, and distributing any imagery of someone under 18 which is indecent is illegal. This includes imagery of yourself if you’re under 18.</w:t>
      </w:r>
    </w:p>
    <w:p>
      <w:pPr>
        <w:spacing w:after="240" w:line="240" w:lineRule="auto"/>
        <w:rPr>
          <w:rFonts w:cs="Arial"/>
          <w:szCs w:val="24"/>
        </w:rPr>
      </w:pPr>
      <w:r>
        <w:rPr>
          <w:rFonts w:cs="Arial"/>
          <w:szCs w:val="24"/>
        </w:rPr>
        <w:t>Indecent is not definitively defined in law, but images are likely to be considered indecent if they depict:</w:t>
      </w:r>
    </w:p>
    <w:p>
      <w:pPr>
        <w:numPr>
          <w:ilvl w:val="0"/>
          <w:numId w:val="40"/>
        </w:numPr>
        <w:spacing w:after="240" w:line="240" w:lineRule="auto"/>
        <w:ind w:left="643"/>
        <w:rPr>
          <w:rFonts w:cs="Arial"/>
          <w:szCs w:val="24"/>
        </w:rPr>
      </w:pPr>
      <w:r>
        <w:rPr>
          <w:rFonts w:cs="Arial"/>
          <w:szCs w:val="24"/>
        </w:rPr>
        <w:t>a naked young person</w:t>
      </w:r>
    </w:p>
    <w:p>
      <w:pPr>
        <w:numPr>
          <w:ilvl w:val="0"/>
          <w:numId w:val="40"/>
        </w:numPr>
        <w:spacing w:after="240" w:line="240" w:lineRule="auto"/>
        <w:ind w:left="643"/>
        <w:rPr>
          <w:rFonts w:cs="Arial"/>
          <w:szCs w:val="24"/>
        </w:rPr>
      </w:pPr>
      <w:r>
        <w:rPr>
          <w:rFonts w:cs="Arial"/>
          <w:szCs w:val="24"/>
        </w:rPr>
        <w:t>a topless girl</w:t>
      </w:r>
    </w:p>
    <w:p>
      <w:pPr>
        <w:numPr>
          <w:ilvl w:val="0"/>
          <w:numId w:val="40"/>
        </w:numPr>
        <w:spacing w:after="240" w:line="240" w:lineRule="auto"/>
        <w:ind w:left="643"/>
        <w:rPr>
          <w:rFonts w:cs="Arial"/>
          <w:szCs w:val="24"/>
        </w:rPr>
      </w:pPr>
      <w:r>
        <w:rPr>
          <w:rFonts w:cs="Arial"/>
          <w:szCs w:val="24"/>
        </w:rPr>
        <w:t>an image which displays genitals, and</w:t>
      </w:r>
    </w:p>
    <w:p>
      <w:pPr>
        <w:numPr>
          <w:ilvl w:val="0"/>
          <w:numId w:val="40"/>
        </w:numPr>
        <w:spacing w:after="240" w:line="240" w:lineRule="auto"/>
        <w:ind w:left="643"/>
        <w:rPr>
          <w:rFonts w:cs="Arial"/>
          <w:szCs w:val="24"/>
        </w:rPr>
      </w:pPr>
      <w:r>
        <w:rPr>
          <w:rFonts w:cs="Arial"/>
          <w:szCs w:val="24"/>
        </w:rPr>
        <w:t>sex acts including masturbation.</w:t>
      </w:r>
    </w:p>
    <w:p>
      <w:pPr>
        <w:numPr>
          <w:ilvl w:val="0"/>
          <w:numId w:val="40"/>
        </w:numPr>
        <w:spacing w:after="240" w:line="240" w:lineRule="auto"/>
        <w:ind w:left="643"/>
        <w:rPr>
          <w:rFonts w:cs="Arial"/>
          <w:szCs w:val="24"/>
        </w:rPr>
      </w:pPr>
      <w:r>
        <w:rPr>
          <w:rFonts w:cs="Arial"/>
          <w:szCs w:val="24"/>
        </w:rPr>
        <w:t>indecent images may also include overtly sexual images of young people in their underwear</w:t>
      </w:r>
    </w:p>
    <w:p>
      <w:pPr>
        <w:spacing w:after="240" w:line="240" w:lineRule="auto"/>
        <w:rPr>
          <w:rFonts w:cs="Arial"/>
          <w:szCs w:val="24"/>
        </w:rPr>
      </w:pPr>
      <w:r>
        <w:rPr>
          <w:rFonts w:cs="Arial"/>
          <w:szCs w:val="24"/>
        </w:rPr>
        <w:t>These laws were not created to criminalise young people but to protect them.  Although sharing sexual images of themselves is illegal and risky, it is often the result of curiosity and exploration. We believe young people need education, support, and safeguarding not criminalisation.</w:t>
      </w:r>
    </w:p>
    <w:p>
      <w:pPr>
        <w:spacing w:after="240" w:line="240" w:lineRule="auto"/>
        <w:rPr>
          <w:rFonts w:cs="Arial"/>
          <w:szCs w:val="24"/>
        </w:rPr>
      </w:pPr>
      <w:r>
        <w:rPr>
          <w:rFonts w:cs="Arial"/>
          <w:szCs w:val="24"/>
        </w:rPr>
        <w:t>The National Police Chiefs Council has made clear that incidents of youth produced sexual imagery should be treated primarily as a safeguarding issue.  However, the Police may need to be involved in cases to ensure thorough investigation including collection of evidence.</w:t>
      </w:r>
    </w:p>
    <w:p>
      <w:pPr>
        <w:pStyle w:val="54"/>
        <w:spacing w:after="240"/>
        <w:rPr>
          <w:color w:val="auto"/>
        </w:rPr>
      </w:pPr>
      <w:r>
        <w:rPr>
          <w:color w:val="auto"/>
        </w:rPr>
        <w:t xml:space="preserve">If a young person has shared imagery consensually, such as when in a romantic relationship, or as a joke, and there is no intended malice, it is usually appropriate for the setting to manage the incident directly. In contrast any incidents with aggravating factors, for example, a young person sharing someone else’s imagery without consent and with malicious intent, should generally be referred to police and/or children’s social care. </w:t>
      </w:r>
    </w:p>
    <w:p>
      <w:pPr>
        <w:pStyle w:val="54"/>
        <w:spacing w:after="240"/>
        <w:rPr>
          <w:color w:val="auto"/>
        </w:rPr>
      </w:pPr>
      <w:r>
        <w:rPr>
          <w:color w:val="auto"/>
        </w:rPr>
        <w:t>If you have any doubts about whether to involve other agencies, you should make a referral to the police</w:t>
      </w:r>
    </w:p>
    <w:p>
      <w:pPr>
        <w:pStyle w:val="54"/>
        <w:spacing w:after="240"/>
        <w:rPr>
          <w:color w:val="auto"/>
        </w:rPr>
      </w:pPr>
    </w:p>
    <w:p>
      <w:pPr>
        <w:pStyle w:val="54"/>
        <w:spacing w:after="240"/>
        <w:rPr>
          <w:color w:val="auto"/>
        </w:rPr>
      </w:pPr>
      <w:r>
        <w:rPr>
          <w:b/>
          <w:bCs/>
          <w:color w:val="auto"/>
        </w:rPr>
        <w:t xml:space="preserve">Assessing the risks </w:t>
      </w:r>
    </w:p>
    <w:p>
      <w:pPr>
        <w:pStyle w:val="54"/>
        <w:ind w:left="-113"/>
        <w:rPr>
          <w:color w:val="auto"/>
        </w:rPr>
      </w:pPr>
      <w:r>
        <w:rPr>
          <w:color w:val="auto"/>
        </w:rPr>
        <w:t xml:space="preserve">The circumstances of incidents can vary widely. If at the initial review stage a decision has been made not to refer to police and/or children’s social care, the DSO Lead should conduct a further review (including an interview with the young people involved) to establish the facts and assess the risks.   </w:t>
      </w:r>
    </w:p>
    <w:p>
      <w:pPr>
        <w:pStyle w:val="54"/>
        <w:ind w:left="-113"/>
        <w:rPr>
          <w:color w:val="auto"/>
        </w:rPr>
      </w:pPr>
    </w:p>
    <w:p>
      <w:pPr>
        <w:pStyle w:val="54"/>
        <w:ind w:left="-113"/>
        <w:rPr>
          <w:color w:val="auto"/>
        </w:rPr>
      </w:pPr>
      <w:r>
        <w:rPr>
          <w:color w:val="auto"/>
        </w:rPr>
        <w:t xml:space="preserve">When assessing the risks the following should be considered: </w:t>
      </w:r>
    </w:p>
    <w:p>
      <w:pPr>
        <w:pStyle w:val="54"/>
        <w:ind w:left="-113"/>
        <w:rPr>
          <w:color w:val="auto"/>
        </w:rPr>
      </w:pPr>
    </w:p>
    <w:p>
      <w:pPr>
        <w:pStyle w:val="54"/>
        <w:numPr>
          <w:ilvl w:val="0"/>
          <w:numId w:val="41"/>
        </w:numPr>
        <w:spacing w:after="240"/>
        <w:ind w:left="643"/>
        <w:rPr>
          <w:color w:val="auto"/>
        </w:rPr>
      </w:pPr>
      <w:r>
        <w:rPr>
          <w:color w:val="auto"/>
        </w:rPr>
        <w:t xml:space="preserve">why was the imagery shared? Was the young person coerced or put under pressure to produce the imagery? </w:t>
      </w:r>
    </w:p>
    <w:p>
      <w:pPr>
        <w:pStyle w:val="54"/>
        <w:numPr>
          <w:ilvl w:val="0"/>
          <w:numId w:val="41"/>
        </w:numPr>
        <w:spacing w:after="240"/>
        <w:ind w:left="643"/>
        <w:rPr>
          <w:color w:val="auto"/>
        </w:rPr>
      </w:pPr>
      <w:r>
        <w:rPr>
          <w:color w:val="auto"/>
        </w:rPr>
        <w:t xml:space="preserve">who has shared the imagery? Where has the imagery been shared? Was it shared and received with the knowledge of the pupil in the imagery? </w:t>
      </w:r>
    </w:p>
    <w:p>
      <w:pPr>
        <w:pStyle w:val="54"/>
        <w:numPr>
          <w:ilvl w:val="0"/>
          <w:numId w:val="41"/>
        </w:numPr>
        <w:spacing w:after="240"/>
        <w:ind w:left="643"/>
        <w:rPr>
          <w:color w:val="auto"/>
        </w:rPr>
      </w:pPr>
      <w:r>
        <w:rPr>
          <w:color w:val="auto"/>
        </w:rPr>
        <w:t xml:space="preserve">are there any adults involved in the sharing of the imagery? </w:t>
      </w:r>
    </w:p>
    <w:p>
      <w:pPr>
        <w:pStyle w:val="54"/>
        <w:numPr>
          <w:ilvl w:val="0"/>
          <w:numId w:val="41"/>
        </w:numPr>
        <w:spacing w:after="240"/>
        <w:ind w:left="643"/>
        <w:rPr>
          <w:color w:val="auto"/>
        </w:rPr>
      </w:pPr>
      <w:r>
        <w:rPr>
          <w:color w:val="auto"/>
        </w:rPr>
        <w:t xml:space="preserve">what is the impact on the young people involved? </w:t>
      </w:r>
    </w:p>
    <w:p>
      <w:pPr>
        <w:pStyle w:val="54"/>
        <w:numPr>
          <w:ilvl w:val="0"/>
          <w:numId w:val="41"/>
        </w:numPr>
        <w:spacing w:after="240"/>
        <w:ind w:left="643"/>
        <w:rPr>
          <w:color w:val="auto"/>
        </w:rPr>
      </w:pPr>
      <w:r>
        <w:rPr>
          <w:color w:val="auto"/>
        </w:rPr>
        <w:t xml:space="preserve">do the young people involved have additional vulnerabilities? </w:t>
      </w:r>
    </w:p>
    <w:p>
      <w:pPr>
        <w:pStyle w:val="54"/>
        <w:numPr>
          <w:ilvl w:val="0"/>
          <w:numId w:val="41"/>
        </w:numPr>
        <w:spacing w:after="240"/>
        <w:ind w:left="643"/>
        <w:rPr>
          <w:color w:val="auto"/>
        </w:rPr>
      </w:pPr>
      <w:r>
        <w:rPr>
          <w:color w:val="auto"/>
        </w:rPr>
        <w:t xml:space="preserve">does the young person understand consent? </w:t>
      </w:r>
    </w:p>
    <w:p>
      <w:pPr>
        <w:pStyle w:val="54"/>
        <w:numPr>
          <w:ilvl w:val="0"/>
          <w:numId w:val="41"/>
        </w:numPr>
        <w:spacing w:after="240"/>
        <w:ind w:left="643"/>
        <w:rPr>
          <w:color w:val="auto"/>
        </w:rPr>
      </w:pPr>
      <w:r>
        <w:rPr>
          <w:color w:val="auto"/>
        </w:rPr>
        <w:t>has the young person taken part in this kind of activity before?</w:t>
      </w:r>
    </w:p>
    <w:p>
      <w:pPr>
        <w:pStyle w:val="54"/>
        <w:spacing w:after="240"/>
        <w:rPr>
          <w:color w:val="auto"/>
        </w:rPr>
      </w:pPr>
      <w:r>
        <w:rPr>
          <w:b/>
          <w:bCs/>
          <w:color w:val="auto"/>
        </w:rPr>
        <w:t xml:space="preserve">Informing parents (or carers) </w:t>
      </w:r>
    </w:p>
    <w:p>
      <w:pPr>
        <w:pStyle w:val="54"/>
        <w:spacing w:after="240"/>
        <w:rPr>
          <w:color w:val="auto"/>
        </w:rPr>
      </w:pPr>
      <w:r>
        <w:rPr>
          <w:color w:val="auto"/>
        </w:rPr>
        <w:t xml:space="preserve">Parents (or carers) should be informed and involved in the process at an early stage unless informing the parent will put the young person at risk of harm. Any decision not to inform the parents would generally be made in conjunction with other services such as children’s social care and/or the police, who would take the lead in deciding when the parents should be informed. </w:t>
      </w:r>
    </w:p>
    <w:p>
      <w:pPr>
        <w:pStyle w:val="54"/>
        <w:spacing w:after="240"/>
        <w:rPr>
          <w:color w:val="auto"/>
        </w:rPr>
      </w:pPr>
      <w:r>
        <w:rPr>
          <w:color w:val="auto"/>
        </w:rPr>
        <w:t>The DSO may work with the young people involved to decide on the best approach for informing parents. In some cases DSO Lead may work to support the young people to inform their parents themselves.</w:t>
      </w:r>
    </w:p>
    <w:p>
      <w:pPr>
        <w:pStyle w:val="54"/>
        <w:spacing w:after="240"/>
        <w:rPr>
          <w:color w:val="auto"/>
        </w:rPr>
      </w:pPr>
      <w:r>
        <w:rPr>
          <w:b/>
          <w:bCs/>
          <w:color w:val="auto"/>
        </w:rPr>
        <w:t xml:space="preserve">Searching devices, viewing and deleting imagery </w:t>
      </w:r>
    </w:p>
    <w:p>
      <w:pPr>
        <w:pStyle w:val="54"/>
        <w:spacing w:after="240"/>
        <w:rPr>
          <w:color w:val="auto"/>
        </w:rPr>
      </w:pPr>
      <w:r>
        <w:rPr>
          <w:b/>
          <w:bCs/>
          <w:color w:val="auto"/>
        </w:rPr>
        <w:t xml:space="preserve">Viewing the imagery </w:t>
      </w:r>
    </w:p>
    <w:p>
      <w:pPr>
        <w:pStyle w:val="54"/>
        <w:spacing w:after="240"/>
        <w:rPr>
          <w:color w:val="auto"/>
        </w:rPr>
      </w:pPr>
      <w:r>
        <w:rPr>
          <w:color w:val="auto"/>
        </w:rPr>
        <w:t>Adults should not view youth produced sexual imagery unless there is good and clear reason to do so.  Wherever possible, responses to incidents should be based on what the DSO has been told about the content of the imagery.</w:t>
      </w:r>
    </w:p>
    <w:p>
      <w:pPr>
        <w:pStyle w:val="54"/>
        <w:spacing w:after="240"/>
        <w:rPr>
          <w:color w:val="auto"/>
        </w:rPr>
      </w:pPr>
      <w:r>
        <w:rPr>
          <w:color w:val="auto"/>
        </w:rPr>
        <w:t>If a decision is made to view imagery, the DSO would need to be satisfied that viewing:</w:t>
      </w:r>
    </w:p>
    <w:p>
      <w:pPr>
        <w:pStyle w:val="54"/>
        <w:numPr>
          <w:ilvl w:val="0"/>
          <w:numId w:val="42"/>
        </w:numPr>
        <w:spacing w:after="240"/>
        <w:ind w:left="643"/>
        <w:rPr>
          <w:color w:val="auto"/>
        </w:rPr>
      </w:pPr>
      <w:r>
        <w:rPr>
          <w:color w:val="auto"/>
        </w:rPr>
        <w:t xml:space="preserve">is the only way to make a decision about whether to involve other agencies (i.e. it is not possible to establish the facts from the young people involved) </w:t>
      </w:r>
    </w:p>
    <w:p>
      <w:pPr>
        <w:pStyle w:val="54"/>
        <w:numPr>
          <w:ilvl w:val="0"/>
          <w:numId w:val="42"/>
        </w:numPr>
        <w:spacing w:after="240"/>
        <w:ind w:left="643"/>
        <w:rPr>
          <w:color w:val="auto"/>
        </w:rPr>
      </w:pPr>
      <w:r>
        <w:rPr>
          <w:color w:val="auto"/>
        </w:rPr>
        <w:t xml:space="preserve">is necessary to report the image to a website, app or suitable reporting agency to have it taken down, or to support the young person or parent in making a report </w:t>
      </w:r>
    </w:p>
    <w:p>
      <w:pPr>
        <w:pStyle w:val="54"/>
        <w:numPr>
          <w:ilvl w:val="0"/>
          <w:numId w:val="42"/>
        </w:numPr>
        <w:spacing w:after="240"/>
        <w:ind w:left="643"/>
        <w:rPr>
          <w:color w:val="auto"/>
        </w:rPr>
      </w:pPr>
      <w:r>
        <w:rPr>
          <w:color w:val="auto"/>
        </w:rPr>
        <w:t xml:space="preserve">is unavoidable because a young person has presented an image directly to a staff member or the imagery has been found on an </w:t>
      </w:r>
      <w:r>
        <w:rPr>
          <w:bCs/>
          <w:color w:val="auto"/>
          <w:kern w:val="36"/>
        </w:rPr>
        <w:t>early years setting</w:t>
      </w:r>
      <w:r>
        <w:rPr>
          <w:color w:val="auto"/>
        </w:rPr>
        <w:t xml:space="preserve"> device or network </w:t>
      </w:r>
    </w:p>
    <w:p>
      <w:pPr>
        <w:pStyle w:val="54"/>
        <w:spacing w:after="240"/>
        <w:rPr>
          <w:color w:val="auto"/>
        </w:rPr>
      </w:pPr>
      <w:r>
        <w:rPr>
          <w:color w:val="auto"/>
        </w:rPr>
        <w:t>If it is necessary to view the imagery then the DSO should:</w:t>
      </w:r>
    </w:p>
    <w:p>
      <w:pPr>
        <w:pStyle w:val="54"/>
        <w:numPr>
          <w:ilvl w:val="0"/>
          <w:numId w:val="43"/>
        </w:numPr>
        <w:spacing w:after="240"/>
        <w:ind w:left="643"/>
        <w:rPr>
          <w:color w:val="auto"/>
        </w:rPr>
      </w:pPr>
      <w:r>
        <w:rPr>
          <w:color w:val="auto"/>
        </w:rPr>
        <w:t xml:space="preserve">never copy, print or share the imagery; this is illegal </w:t>
      </w:r>
    </w:p>
    <w:p>
      <w:pPr>
        <w:pStyle w:val="54"/>
        <w:numPr>
          <w:ilvl w:val="0"/>
          <w:numId w:val="43"/>
        </w:numPr>
        <w:spacing w:after="240"/>
        <w:ind w:left="643"/>
        <w:rPr>
          <w:color w:val="auto"/>
        </w:rPr>
      </w:pPr>
      <w:r>
        <w:rPr>
          <w:color w:val="auto"/>
        </w:rPr>
        <w:t xml:space="preserve">discuss the decision with the Nursery Manager/Pre School Leader </w:t>
      </w:r>
    </w:p>
    <w:p>
      <w:pPr>
        <w:pStyle w:val="54"/>
        <w:numPr>
          <w:ilvl w:val="0"/>
          <w:numId w:val="43"/>
        </w:numPr>
        <w:spacing w:after="240"/>
        <w:ind w:left="643"/>
        <w:rPr>
          <w:color w:val="auto"/>
        </w:rPr>
      </w:pPr>
      <w:r>
        <w:rPr>
          <w:color w:val="auto"/>
        </w:rPr>
        <w:t>ensure viewing is undertaken by the DSO or another member of the safeguarding team with delegated authority from the Nursery Manager/Pre School Leader</w:t>
      </w:r>
    </w:p>
    <w:p>
      <w:pPr>
        <w:pStyle w:val="54"/>
        <w:numPr>
          <w:ilvl w:val="0"/>
          <w:numId w:val="43"/>
        </w:numPr>
        <w:spacing w:after="240"/>
        <w:ind w:left="643"/>
        <w:rPr>
          <w:color w:val="auto"/>
        </w:rPr>
      </w:pPr>
      <w:r>
        <w:rPr>
          <w:color w:val="auto"/>
        </w:rPr>
        <w:t xml:space="preserve">ensure viewing takes place with another member of staff present in the room, ideally Nursery Manager/Pre School Leader or a member of the senior leadership team. This staff member does not need to view the images </w:t>
      </w:r>
    </w:p>
    <w:p>
      <w:pPr>
        <w:pStyle w:val="54"/>
        <w:numPr>
          <w:ilvl w:val="0"/>
          <w:numId w:val="43"/>
        </w:numPr>
        <w:spacing w:after="240"/>
        <w:ind w:left="643"/>
        <w:rPr>
          <w:color w:val="auto"/>
        </w:rPr>
      </w:pPr>
      <w:r>
        <w:rPr>
          <w:color w:val="auto"/>
        </w:rPr>
        <w:t xml:space="preserve">ensure wherever possible that images are viewed by a staff member of the same sex as the young person in the imagery </w:t>
      </w:r>
    </w:p>
    <w:p>
      <w:pPr>
        <w:pStyle w:val="54"/>
        <w:numPr>
          <w:ilvl w:val="0"/>
          <w:numId w:val="43"/>
        </w:numPr>
        <w:spacing w:after="240"/>
        <w:ind w:left="643"/>
        <w:rPr>
          <w:color w:val="auto"/>
        </w:rPr>
      </w:pPr>
      <w:r>
        <w:rPr>
          <w:color w:val="auto"/>
        </w:rPr>
        <w:t xml:space="preserve">record the viewing of the imagery in the setting safeguarding records including who was present, why the image was viewed and any subsequent actions and ensure the safeguarding recording procedures for the setting are followed </w:t>
      </w:r>
    </w:p>
    <w:p>
      <w:pPr>
        <w:pStyle w:val="54"/>
        <w:spacing w:after="240"/>
        <w:rPr>
          <w:color w:val="auto"/>
          <w:sz w:val="22"/>
          <w:szCs w:val="22"/>
        </w:rPr>
      </w:pPr>
      <w:r>
        <w:rPr>
          <w:color w:val="auto"/>
        </w:rPr>
        <w:t>If during a search material that is concerning has been or could be used to cause harm or commit an offence, the material may be retained as evidence of a criminal offence or a breach of setting discipline and using professional judgement, the police may need to be involved</w:t>
      </w:r>
      <w:r>
        <w:rPr>
          <w:color w:val="auto"/>
          <w:sz w:val="22"/>
          <w:szCs w:val="22"/>
        </w:rPr>
        <w:t>.</w:t>
      </w:r>
    </w:p>
    <w:p>
      <w:pPr>
        <w:pStyle w:val="54"/>
        <w:spacing w:after="240"/>
        <w:rPr>
          <w:color w:val="auto"/>
          <w:sz w:val="22"/>
          <w:szCs w:val="22"/>
        </w:rPr>
      </w:pPr>
    </w:p>
    <w:p>
      <w:pPr>
        <w:pStyle w:val="3"/>
      </w:pPr>
      <w:r>
        <w:rPr>
          <w:sz w:val="22"/>
          <w:szCs w:val="22"/>
        </w:rPr>
        <w:t xml:space="preserve"> </w:t>
      </w:r>
      <w:bookmarkStart w:id="32" w:name="_Toc49500874"/>
      <w:r>
        <w:t>Appendix 7 - Safeguarding Children in Specific Circumstances</w:t>
      </w:r>
      <w:bookmarkEnd w:id="32"/>
    </w:p>
    <w:p>
      <w:pPr>
        <w:rPr>
          <w:sz w:val="22"/>
          <w:szCs w:val="22"/>
        </w:rPr>
      </w:pPr>
      <w:r>
        <w:t>All staff should be aware that safeguarding incidents and/or behaviours can be associated with factors outside the early years setting and/or can occur between children outside of these environments. 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exploitation and serious youth violence.</w:t>
      </w:r>
      <w:r>
        <w:rPr>
          <w:rFonts w:eastAsia="Calibri"/>
          <w:lang w:eastAsia="en-US"/>
        </w:rPr>
        <w:t xml:space="preserve"> Contextual safeguarding/extra familial risk as referenced.</w:t>
      </w:r>
    </w:p>
    <w:p>
      <w:pPr>
        <w:pStyle w:val="54"/>
        <w:spacing w:after="240"/>
        <w:rPr>
          <w:b/>
          <w:color w:val="auto"/>
        </w:rPr>
      </w:pPr>
      <w:r>
        <w:rPr>
          <w:rFonts w:eastAsia="Calibri"/>
          <w:szCs w:val="23"/>
          <w:lang w:eastAsia="en-US"/>
        </w:rPr>
        <w:t>We understand contextual safeguarding and will make a referral in the first instance if apparent.</w:t>
      </w:r>
    </w:p>
    <w:p>
      <w:pPr>
        <w:rPr>
          <w:b/>
        </w:rPr>
      </w:pPr>
      <w:r>
        <w:rPr>
          <w:b/>
        </w:rPr>
        <w:t>Peer on Peer abuse</w:t>
      </w:r>
    </w:p>
    <w:p>
      <w:pPr>
        <w:pStyle w:val="53"/>
        <w:numPr>
          <w:ilvl w:val="0"/>
          <w:numId w:val="44"/>
        </w:numPr>
        <w:rPr>
          <w:rFonts w:ascii="Arial" w:hAnsi="Arial" w:cs="Arial"/>
          <w:sz w:val="24"/>
          <w:szCs w:val="24"/>
        </w:rPr>
      </w:pPr>
      <w:r>
        <w:rPr>
          <w:rFonts w:ascii="Arial" w:hAnsi="Arial" w:cs="Arial"/>
          <w:sz w:val="24"/>
          <w:szCs w:val="24"/>
        </w:rPr>
        <w:t>The early years setting recognises that children can abuse other children and such behaviours are never viewed simply as ‘banter’ or as part of growing up.  We recognise that peer on peer abuse can take many different forms such as:</w:t>
      </w:r>
    </w:p>
    <w:p>
      <w:pPr>
        <w:pStyle w:val="53"/>
        <w:rPr>
          <w:rFonts w:ascii="Arial" w:hAnsi="Arial" w:cs="Arial"/>
          <w:sz w:val="24"/>
          <w:szCs w:val="24"/>
        </w:rPr>
      </w:pPr>
    </w:p>
    <w:p>
      <w:pPr>
        <w:pStyle w:val="53"/>
        <w:numPr>
          <w:ilvl w:val="0"/>
          <w:numId w:val="44"/>
        </w:numPr>
        <w:spacing w:after="240"/>
        <w:rPr>
          <w:rFonts w:ascii="Arial" w:hAnsi="Arial" w:cs="Arial"/>
          <w:sz w:val="24"/>
          <w:szCs w:val="24"/>
        </w:rPr>
      </w:pPr>
      <w:r>
        <w:rPr>
          <w:rFonts w:ascii="Arial" w:hAnsi="Arial" w:cs="Arial"/>
          <w:sz w:val="24"/>
          <w:szCs w:val="24"/>
        </w:rPr>
        <w:t>cyber-bullying</w:t>
      </w:r>
    </w:p>
    <w:p>
      <w:pPr>
        <w:pStyle w:val="53"/>
        <w:numPr>
          <w:ilvl w:val="0"/>
          <w:numId w:val="44"/>
        </w:numPr>
        <w:spacing w:after="240"/>
        <w:rPr>
          <w:rFonts w:ascii="Arial" w:hAnsi="Arial" w:cs="Arial"/>
          <w:sz w:val="24"/>
          <w:szCs w:val="24"/>
        </w:rPr>
      </w:pPr>
      <w:r>
        <w:rPr>
          <w:rFonts w:ascii="Arial" w:hAnsi="Arial" w:cs="Arial"/>
          <w:sz w:val="24"/>
          <w:szCs w:val="24"/>
        </w:rPr>
        <w:t>sending or posting sexually suggestive images including nude or semi-nude photographs via mobiles or over the internet by persons aged under 18 (referred to as youth Produced Sexual Imagery)</w:t>
      </w:r>
    </w:p>
    <w:p>
      <w:pPr>
        <w:pStyle w:val="53"/>
        <w:numPr>
          <w:ilvl w:val="0"/>
          <w:numId w:val="44"/>
        </w:numPr>
        <w:spacing w:after="240"/>
        <w:rPr>
          <w:rFonts w:ascii="Arial" w:hAnsi="Arial" w:cs="Arial"/>
          <w:sz w:val="24"/>
          <w:szCs w:val="24"/>
        </w:rPr>
      </w:pPr>
      <w:r>
        <w:rPr>
          <w:rFonts w:ascii="Arial" w:hAnsi="Arial" w:cs="Arial"/>
          <w:sz w:val="24"/>
          <w:szCs w:val="24"/>
        </w:rPr>
        <w:t>sexual assault</w:t>
      </w:r>
    </w:p>
    <w:p>
      <w:pPr>
        <w:pStyle w:val="53"/>
        <w:numPr>
          <w:ilvl w:val="0"/>
          <w:numId w:val="44"/>
        </w:numPr>
        <w:spacing w:after="240"/>
        <w:rPr>
          <w:rFonts w:ascii="Arial" w:hAnsi="Arial" w:cs="Arial"/>
          <w:sz w:val="24"/>
          <w:szCs w:val="24"/>
        </w:rPr>
      </w:pPr>
      <w:r>
        <w:rPr>
          <w:rFonts w:ascii="Arial" w:hAnsi="Arial" w:cs="Arial"/>
          <w:sz w:val="24"/>
          <w:szCs w:val="24"/>
        </w:rPr>
        <w:t>sexual violence or harassment</w:t>
      </w:r>
    </w:p>
    <w:p>
      <w:pPr>
        <w:pStyle w:val="53"/>
        <w:numPr>
          <w:ilvl w:val="0"/>
          <w:numId w:val="44"/>
        </w:numPr>
        <w:spacing w:after="240"/>
        <w:rPr>
          <w:rFonts w:ascii="Arial" w:hAnsi="Arial" w:cs="Arial"/>
          <w:sz w:val="24"/>
          <w:szCs w:val="24"/>
        </w:rPr>
      </w:pPr>
      <w:r>
        <w:rPr>
          <w:rFonts w:ascii="Arial" w:hAnsi="Arial" w:cs="Arial"/>
          <w:sz w:val="24"/>
          <w:szCs w:val="24"/>
        </w:rPr>
        <w:t xml:space="preserve">up-skirting </w:t>
      </w:r>
    </w:p>
    <w:p>
      <w:pPr>
        <w:pStyle w:val="53"/>
        <w:numPr>
          <w:ilvl w:val="0"/>
          <w:numId w:val="44"/>
        </w:numPr>
        <w:spacing w:after="240"/>
        <w:rPr>
          <w:rFonts w:ascii="Arial" w:hAnsi="Arial" w:cs="Arial"/>
          <w:sz w:val="24"/>
          <w:szCs w:val="24"/>
        </w:rPr>
      </w:pPr>
      <w:r>
        <w:rPr>
          <w:rFonts w:ascii="Arial" w:hAnsi="Arial" w:cs="Arial"/>
          <w:sz w:val="24"/>
          <w:szCs w:val="24"/>
        </w:rPr>
        <w:t>sexually harmful or problematic behaviour</w:t>
      </w:r>
    </w:p>
    <w:p>
      <w:pPr>
        <w:pStyle w:val="53"/>
        <w:numPr>
          <w:ilvl w:val="0"/>
          <w:numId w:val="44"/>
        </w:numPr>
        <w:spacing w:after="240"/>
        <w:rPr>
          <w:rFonts w:ascii="Arial" w:hAnsi="Arial" w:cs="Arial"/>
          <w:sz w:val="24"/>
          <w:szCs w:val="24"/>
        </w:rPr>
      </w:pPr>
      <w:r>
        <w:rPr>
          <w:rFonts w:ascii="Arial" w:hAnsi="Arial" w:cs="Arial"/>
          <w:sz w:val="24"/>
          <w:szCs w:val="24"/>
        </w:rPr>
        <w:t>gang initiation or hazing type violence</w:t>
      </w:r>
    </w:p>
    <w:p>
      <w:pPr>
        <w:pStyle w:val="53"/>
        <w:spacing w:after="240"/>
        <w:rPr>
          <w:rFonts w:ascii="Arial" w:hAnsi="Arial" w:cs="Arial"/>
          <w:sz w:val="24"/>
          <w:szCs w:val="24"/>
        </w:rPr>
      </w:pPr>
    </w:p>
    <w:p>
      <w:pPr>
        <w:pStyle w:val="53"/>
        <w:ind w:right="57"/>
        <w:rPr>
          <w:rFonts w:ascii="Arial" w:hAnsi="Arial" w:cs="Arial"/>
          <w:sz w:val="24"/>
          <w:szCs w:val="24"/>
        </w:rPr>
      </w:pPr>
      <w:r>
        <w:rPr>
          <w:rFonts w:ascii="Arial" w:hAnsi="Arial" w:cs="Arial"/>
          <w:sz w:val="24"/>
          <w:szCs w:val="24"/>
        </w:rPr>
        <w:t xml:space="preserve">The early years setting will follow the local interagency procedures and the Harmful Sexual Behaviours strategy.  This includes responding to any reports in a child centred manner and undertaking an immediate risk and needs assessment in relation to the victim, the alleged perpetrator and other children.   </w:t>
      </w:r>
    </w:p>
    <w:p>
      <w:pPr>
        <w:pStyle w:val="53"/>
        <w:ind w:right="57"/>
        <w:rPr>
          <w:rFonts w:ascii="Arial" w:hAnsi="Arial" w:cs="Arial"/>
          <w:sz w:val="24"/>
          <w:szCs w:val="24"/>
        </w:rPr>
      </w:pPr>
    </w:p>
    <w:p>
      <w:pPr>
        <w:pStyle w:val="53"/>
        <w:ind w:right="57"/>
        <w:rPr>
          <w:rFonts w:ascii="Arial" w:hAnsi="Arial" w:cs="Arial"/>
          <w:sz w:val="24"/>
          <w:szCs w:val="24"/>
        </w:rPr>
      </w:pPr>
      <w:r>
        <w:rPr>
          <w:rFonts w:ascii="Arial" w:hAnsi="Arial" w:cs="Arial"/>
          <w:sz w:val="24"/>
          <w:szCs w:val="24"/>
        </w:rPr>
        <w:t>Up skirting is an illegal offence which typically involves taking a picture under a person’s clothing without them knowing, with the intention of viewing their genitals or buttocks to obtain sexual gratification, or cause the victim humiliation, distress or alarm</w:t>
      </w:r>
      <w:r>
        <w:rPr>
          <w:rFonts w:ascii="Arial" w:hAnsi="Arial" w:cs="Arial"/>
          <w:sz w:val="24"/>
          <w:szCs w:val="24"/>
        </w:rPr>
        <w:br w:type="textWrapping"/>
      </w:r>
      <w:r>
        <w:rPr>
          <w:rFonts w:ascii="Arial" w:hAnsi="Arial" w:cs="Arial"/>
          <w:sz w:val="24"/>
          <w:szCs w:val="24"/>
        </w:rPr>
        <w:t xml:space="preserve">The UK </w:t>
      </w:r>
      <w:r>
        <w:fldChar w:fldCharType="begin"/>
      </w:r>
      <w:r>
        <w:instrText xml:space="preserve"> HYPERLINK "https://www.gov.uk/government/groups/uk-council-for-child-internet-safety-ukccis" </w:instrText>
      </w:r>
      <w:r>
        <w:fldChar w:fldCharType="separate"/>
      </w:r>
      <w:r>
        <w:rPr>
          <w:rStyle w:val="26"/>
          <w:rFonts w:ascii="Arial" w:hAnsi="Arial" w:cs="Arial"/>
          <w:sz w:val="24"/>
          <w:szCs w:val="24"/>
        </w:rPr>
        <w:t>Council for Child Internet Safety (UKCCIS)</w:t>
      </w:r>
      <w:r>
        <w:rPr>
          <w:rStyle w:val="26"/>
          <w:rFonts w:ascii="Arial" w:hAnsi="Arial" w:cs="Arial"/>
          <w:sz w:val="24"/>
          <w:szCs w:val="24"/>
        </w:rPr>
        <w:fldChar w:fldCharType="end"/>
      </w:r>
      <w:r>
        <w:rPr>
          <w:rFonts w:ascii="Arial" w:hAnsi="Arial" w:cs="Arial"/>
          <w:sz w:val="24"/>
          <w:szCs w:val="24"/>
        </w:rPr>
        <w:t xml:space="preserve"> Education Group has recently published </w:t>
      </w:r>
      <w:r>
        <w:fldChar w:fldCharType="begin"/>
      </w:r>
      <w:r>
        <w:instrText xml:space="preserve"> HYPERLINK "https://www.gov.uk/government/publications/sexual-violence-and-sexual-harassment-between-children-in-schools-and-colleges" </w:instrText>
      </w:r>
      <w:r>
        <w:fldChar w:fldCharType="separate"/>
      </w:r>
      <w:r>
        <w:rPr>
          <w:rStyle w:val="26"/>
          <w:rFonts w:ascii="Arial" w:hAnsi="Arial" w:cs="Arial"/>
          <w:sz w:val="24"/>
          <w:szCs w:val="24"/>
        </w:rPr>
        <w:t>sexting advice for schools and colleges</w:t>
      </w:r>
      <w:r>
        <w:rPr>
          <w:rStyle w:val="26"/>
          <w:rFonts w:ascii="Arial" w:hAnsi="Arial" w:cs="Arial"/>
          <w:sz w:val="24"/>
          <w:szCs w:val="24"/>
        </w:rPr>
        <w:fldChar w:fldCharType="end"/>
      </w:r>
    </w:p>
    <w:p>
      <w:pPr>
        <w:pStyle w:val="54"/>
        <w:ind w:left="720"/>
        <w:rPr>
          <w:color w:val="auto"/>
          <w:sz w:val="22"/>
          <w:szCs w:val="22"/>
        </w:rPr>
      </w:pPr>
    </w:p>
    <w:p>
      <w:pPr>
        <w:pStyle w:val="54"/>
        <w:rPr>
          <w:color w:val="auto"/>
          <w:sz w:val="22"/>
          <w:szCs w:val="22"/>
        </w:rPr>
      </w:pPr>
      <w:r>
        <w:rPr>
          <w:color w:val="auto"/>
        </w:rPr>
        <w:t>Owners/committee/managers/pre school leaders should ensure the child protection policy reflects the different gender issues that can be prevalent when dealing with peer on peer abuse. This could, for example, include girls being sexually touched/assaulted or boys being subject to initiation/hazing type violence</w:t>
      </w:r>
      <w:r>
        <w:rPr>
          <w:color w:val="auto"/>
          <w:sz w:val="22"/>
          <w:szCs w:val="22"/>
        </w:rPr>
        <w:t>.</w:t>
      </w:r>
    </w:p>
    <w:p>
      <w:pPr>
        <w:pStyle w:val="27"/>
        <w:shd w:val="clear" w:color="auto" w:fill="FFFFFF"/>
        <w:spacing w:before="0" w:beforeAutospacing="0" w:after="240" w:afterAutospacing="0" w:line="240" w:lineRule="auto"/>
        <w:rPr>
          <w:rFonts w:ascii="Arial" w:hAnsi="Arial" w:cs="Arial"/>
          <w:sz w:val="22"/>
          <w:szCs w:val="22"/>
        </w:rPr>
      </w:pPr>
    </w:p>
    <w:p>
      <w:pPr>
        <w:spacing w:after="240" w:line="240" w:lineRule="auto"/>
        <w:rPr>
          <w:rFonts w:cs="Arial"/>
          <w:sz w:val="22"/>
          <w:szCs w:val="22"/>
        </w:rPr>
      </w:pPr>
      <w:r>
        <w:rPr>
          <w:rFonts w:cs="Arial"/>
          <w:sz w:val="22"/>
          <w:szCs w:val="22"/>
        </w:rPr>
        <w:br w:type="page"/>
      </w:r>
    </w:p>
    <w:p>
      <w:pPr>
        <w:pStyle w:val="3"/>
      </w:pPr>
      <w:bookmarkStart w:id="33" w:name="_Toc49500875"/>
      <w:r>
        <w:t>Appendix 8 - Gang involvement</w:t>
      </w:r>
      <w:bookmarkEnd w:id="33"/>
    </w:p>
    <w:p>
      <w:pPr>
        <w:pStyle w:val="27"/>
        <w:shd w:val="clear" w:color="auto" w:fill="FFFFFF"/>
        <w:spacing w:before="0" w:beforeAutospacing="0" w:after="240" w:afterAutospacing="0" w:line="240" w:lineRule="auto"/>
        <w:rPr>
          <w:rFonts w:ascii="Arial" w:hAnsi="Arial" w:cs="Arial"/>
        </w:rPr>
      </w:pPr>
      <w:r>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pPr>
        <w:pStyle w:val="27"/>
        <w:shd w:val="clear" w:color="auto" w:fill="FFFFFF"/>
        <w:spacing w:before="0" w:beforeAutospacing="0" w:after="240" w:afterAutospacing="0" w:line="240" w:lineRule="auto"/>
        <w:rPr>
          <w:rFonts w:ascii="Arial" w:hAnsi="Arial" w:cs="Arial"/>
        </w:rPr>
      </w:pPr>
      <w:r>
        <w:rPr>
          <w:rFonts w:ascii="Arial" w:hAnsi="Arial" w:cs="Arial"/>
        </w:rPr>
        <w:t>Risk indicators may include:</w:t>
      </w:r>
    </w:p>
    <w:p>
      <w:pPr>
        <w:numPr>
          <w:ilvl w:val="0"/>
          <w:numId w:val="45"/>
        </w:numPr>
        <w:shd w:val="clear" w:color="auto" w:fill="FFFFFF"/>
        <w:spacing w:after="240" w:line="240" w:lineRule="auto"/>
        <w:ind w:left="643"/>
        <w:rPr>
          <w:rFonts w:cs="Arial"/>
          <w:szCs w:val="24"/>
        </w:rPr>
      </w:pPr>
      <w:r>
        <w:rPr>
          <w:rFonts w:cs="Arial"/>
          <w:szCs w:val="24"/>
        </w:rPr>
        <w:t>becoming withdrawn from family</w:t>
      </w:r>
    </w:p>
    <w:p>
      <w:pPr>
        <w:numPr>
          <w:ilvl w:val="0"/>
          <w:numId w:val="45"/>
        </w:numPr>
        <w:shd w:val="clear" w:color="auto" w:fill="FFFFFF"/>
        <w:spacing w:after="240" w:line="240" w:lineRule="auto"/>
        <w:ind w:left="643"/>
        <w:rPr>
          <w:rFonts w:cs="Arial"/>
          <w:szCs w:val="24"/>
        </w:rPr>
      </w:pPr>
      <w:r>
        <w:rPr>
          <w:rFonts w:cs="Arial"/>
          <w:szCs w:val="24"/>
        </w:rPr>
        <w:t>sudden loss of interest - decline in attendance or academic achievement</w:t>
      </w:r>
    </w:p>
    <w:p>
      <w:pPr>
        <w:numPr>
          <w:ilvl w:val="0"/>
          <w:numId w:val="45"/>
        </w:numPr>
        <w:shd w:val="clear" w:color="auto" w:fill="FFFFFF"/>
        <w:spacing w:after="240" w:line="240" w:lineRule="auto"/>
        <w:ind w:left="643"/>
        <w:rPr>
          <w:rFonts w:cs="Arial"/>
          <w:szCs w:val="24"/>
        </w:rPr>
      </w:pPr>
      <w:r>
        <w:rPr>
          <w:rFonts w:cs="Arial"/>
          <w:szCs w:val="24"/>
        </w:rPr>
        <w:t>starting to use new or unknown slang words</w:t>
      </w:r>
    </w:p>
    <w:p>
      <w:pPr>
        <w:numPr>
          <w:ilvl w:val="0"/>
          <w:numId w:val="45"/>
        </w:numPr>
        <w:shd w:val="clear" w:color="auto" w:fill="FFFFFF"/>
        <w:spacing w:after="240" w:line="240" w:lineRule="auto"/>
        <w:ind w:left="643"/>
        <w:rPr>
          <w:rFonts w:cs="Arial"/>
          <w:szCs w:val="24"/>
        </w:rPr>
      </w:pPr>
      <w:r>
        <w:rPr>
          <w:rFonts w:cs="Arial"/>
          <w:szCs w:val="24"/>
        </w:rPr>
        <w:t>holding unexplained money or possessions</w:t>
      </w:r>
    </w:p>
    <w:p>
      <w:pPr>
        <w:numPr>
          <w:ilvl w:val="0"/>
          <w:numId w:val="45"/>
        </w:numPr>
        <w:shd w:val="clear" w:color="auto" w:fill="FFFFFF"/>
        <w:spacing w:after="240" w:line="240" w:lineRule="auto"/>
        <w:ind w:left="643"/>
        <w:rPr>
          <w:rFonts w:cs="Arial"/>
          <w:szCs w:val="24"/>
        </w:rPr>
      </w:pPr>
      <w:r>
        <w:rPr>
          <w:rFonts w:cs="Arial"/>
          <w:szCs w:val="24"/>
        </w:rPr>
        <w:t>staying out unusually late without reason</w:t>
      </w:r>
    </w:p>
    <w:p>
      <w:pPr>
        <w:numPr>
          <w:ilvl w:val="0"/>
          <w:numId w:val="45"/>
        </w:numPr>
        <w:shd w:val="clear" w:color="auto" w:fill="FFFFFF"/>
        <w:spacing w:after="240" w:line="240" w:lineRule="auto"/>
        <w:ind w:left="643"/>
        <w:rPr>
          <w:rFonts w:cs="Arial"/>
          <w:szCs w:val="24"/>
        </w:rPr>
      </w:pPr>
      <w:r>
        <w:rPr>
          <w:rFonts w:cs="Arial"/>
          <w:szCs w:val="24"/>
        </w:rPr>
        <w:t>sudden change in appearance - dressing in a particular style or ‘uniform’</w:t>
      </w:r>
    </w:p>
    <w:p>
      <w:pPr>
        <w:numPr>
          <w:ilvl w:val="0"/>
          <w:numId w:val="45"/>
        </w:numPr>
        <w:shd w:val="clear" w:color="auto" w:fill="FFFFFF"/>
        <w:spacing w:after="240" w:line="240" w:lineRule="auto"/>
        <w:ind w:left="643"/>
        <w:rPr>
          <w:rFonts w:cs="Arial"/>
          <w:szCs w:val="24"/>
        </w:rPr>
      </w:pPr>
      <w:r>
        <w:rPr>
          <w:rFonts w:cs="Arial"/>
          <w:szCs w:val="24"/>
        </w:rPr>
        <w:t>dropping out of positive activities</w:t>
      </w:r>
    </w:p>
    <w:p>
      <w:pPr>
        <w:numPr>
          <w:ilvl w:val="0"/>
          <w:numId w:val="45"/>
        </w:numPr>
        <w:shd w:val="clear" w:color="auto" w:fill="FFFFFF"/>
        <w:spacing w:after="240" w:line="240" w:lineRule="auto"/>
        <w:ind w:left="643"/>
        <w:rPr>
          <w:rFonts w:cs="Arial"/>
          <w:szCs w:val="24"/>
        </w:rPr>
      </w:pPr>
      <w:r>
        <w:rPr>
          <w:rFonts w:cs="Arial"/>
          <w:szCs w:val="24"/>
        </w:rPr>
        <w:t>new nickname</w:t>
      </w:r>
    </w:p>
    <w:p>
      <w:pPr>
        <w:numPr>
          <w:ilvl w:val="0"/>
          <w:numId w:val="45"/>
        </w:numPr>
        <w:shd w:val="clear" w:color="auto" w:fill="FFFFFF"/>
        <w:spacing w:after="240" w:line="240" w:lineRule="auto"/>
        <w:ind w:left="643"/>
        <w:rPr>
          <w:rFonts w:cs="Arial"/>
          <w:szCs w:val="24"/>
        </w:rPr>
      </w:pPr>
      <w:r>
        <w:rPr>
          <w:rFonts w:cs="Arial"/>
          <w:szCs w:val="24"/>
        </w:rPr>
        <w:t>unexplained physical injuries</w:t>
      </w:r>
    </w:p>
    <w:p>
      <w:pPr>
        <w:numPr>
          <w:ilvl w:val="0"/>
          <w:numId w:val="45"/>
        </w:numPr>
        <w:shd w:val="clear" w:color="auto" w:fill="FFFFFF"/>
        <w:spacing w:after="240" w:line="240" w:lineRule="auto"/>
        <w:ind w:left="643"/>
        <w:rPr>
          <w:rFonts w:cs="Arial"/>
          <w:szCs w:val="24"/>
        </w:rPr>
      </w:pPr>
      <w:r>
        <w:rPr>
          <w:rFonts w:cs="Arial"/>
          <w:szCs w:val="24"/>
        </w:rPr>
        <w:t>graffiti style tags on possessions, school books, walls</w:t>
      </w:r>
    </w:p>
    <w:p>
      <w:pPr>
        <w:numPr>
          <w:ilvl w:val="0"/>
          <w:numId w:val="45"/>
        </w:numPr>
        <w:shd w:val="clear" w:color="auto" w:fill="FFFFFF"/>
        <w:spacing w:after="240" w:line="240" w:lineRule="auto"/>
        <w:ind w:left="643"/>
        <w:rPr>
          <w:rFonts w:cs="Arial"/>
          <w:szCs w:val="24"/>
        </w:rPr>
      </w:pPr>
      <w:r>
        <w:rPr>
          <w:rFonts w:cs="Arial"/>
          <w:szCs w:val="24"/>
        </w:rPr>
        <w:t>constantly talking about another young person who seems to have a lot of influence over them</w:t>
      </w:r>
    </w:p>
    <w:p>
      <w:pPr>
        <w:numPr>
          <w:ilvl w:val="0"/>
          <w:numId w:val="45"/>
        </w:numPr>
        <w:shd w:val="clear" w:color="auto" w:fill="FFFFFF"/>
        <w:spacing w:after="240" w:line="240" w:lineRule="auto"/>
        <w:ind w:left="643"/>
        <w:rPr>
          <w:rFonts w:cs="Arial"/>
          <w:szCs w:val="24"/>
        </w:rPr>
      </w:pPr>
      <w:r>
        <w:rPr>
          <w:rFonts w:cs="Arial"/>
          <w:szCs w:val="24"/>
        </w:rPr>
        <w:t>broken off with old friends and hanging around with a new group</w:t>
      </w:r>
    </w:p>
    <w:p>
      <w:pPr>
        <w:numPr>
          <w:ilvl w:val="0"/>
          <w:numId w:val="45"/>
        </w:numPr>
        <w:shd w:val="clear" w:color="auto" w:fill="FFFFFF"/>
        <w:spacing w:after="240" w:line="240" w:lineRule="auto"/>
        <w:ind w:left="643"/>
        <w:rPr>
          <w:rFonts w:cs="Arial"/>
          <w:szCs w:val="24"/>
        </w:rPr>
      </w:pPr>
      <w:r>
        <w:rPr>
          <w:rFonts w:cs="Arial"/>
          <w:szCs w:val="24"/>
        </w:rPr>
        <w:t>increased use of social networking sites</w:t>
      </w:r>
    </w:p>
    <w:p>
      <w:pPr>
        <w:numPr>
          <w:ilvl w:val="0"/>
          <w:numId w:val="45"/>
        </w:numPr>
        <w:shd w:val="clear" w:color="auto" w:fill="FFFFFF"/>
        <w:spacing w:after="240" w:line="240" w:lineRule="auto"/>
        <w:ind w:left="643"/>
        <w:rPr>
          <w:rFonts w:cs="Arial"/>
          <w:szCs w:val="24"/>
        </w:rPr>
      </w:pPr>
      <w:r>
        <w:rPr>
          <w:rFonts w:cs="Arial"/>
          <w:szCs w:val="24"/>
        </w:rPr>
        <w:t>starting to adopt codes of group behaviour e.g. ways of talking and hand signs</w:t>
      </w:r>
    </w:p>
    <w:p>
      <w:pPr>
        <w:numPr>
          <w:ilvl w:val="0"/>
          <w:numId w:val="45"/>
        </w:numPr>
        <w:shd w:val="clear" w:color="auto" w:fill="FFFFFF"/>
        <w:spacing w:after="240" w:line="240" w:lineRule="auto"/>
        <w:ind w:left="643"/>
        <w:rPr>
          <w:rFonts w:cs="Arial"/>
          <w:szCs w:val="24"/>
        </w:rPr>
      </w:pPr>
      <w:r>
        <w:rPr>
          <w:rFonts w:cs="Arial"/>
          <w:szCs w:val="24"/>
        </w:rPr>
        <w:t>expressing aggressive or intimidating views towards other groups of young people some of whom may have been friends in the past</w:t>
      </w:r>
    </w:p>
    <w:p>
      <w:pPr>
        <w:numPr>
          <w:ilvl w:val="0"/>
          <w:numId w:val="45"/>
        </w:numPr>
        <w:shd w:val="clear" w:color="auto" w:fill="FFFFFF"/>
        <w:spacing w:after="240" w:line="240" w:lineRule="auto"/>
        <w:ind w:left="643"/>
        <w:rPr>
          <w:rFonts w:cs="Arial"/>
          <w:szCs w:val="24"/>
        </w:rPr>
      </w:pPr>
      <w:r>
        <w:rPr>
          <w:rFonts w:cs="Arial"/>
          <w:szCs w:val="24"/>
        </w:rPr>
        <w:t>being scared when entering certain areas</w:t>
      </w:r>
    </w:p>
    <w:p>
      <w:pPr>
        <w:numPr>
          <w:ilvl w:val="0"/>
          <w:numId w:val="45"/>
        </w:numPr>
        <w:shd w:val="clear" w:color="auto" w:fill="FFFFFF"/>
        <w:spacing w:after="240" w:line="240" w:lineRule="auto"/>
        <w:ind w:left="643"/>
        <w:rPr>
          <w:rFonts w:cs="Arial"/>
          <w:szCs w:val="24"/>
        </w:rPr>
      </w:pPr>
      <w:r>
        <w:rPr>
          <w:rFonts w:cs="Arial"/>
          <w:szCs w:val="24"/>
        </w:rPr>
        <w:t>being concerns by the presence of unknown youths in their neighbourhood</w:t>
      </w:r>
    </w:p>
    <w:p>
      <w:pPr>
        <w:pStyle w:val="27"/>
        <w:shd w:val="clear" w:color="auto" w:fill="FFFFFF"/>
        <w:spacing w:before="0" w:beforeAutospacing="0" w:after="240" w:afterAutospacing="0" w:line="240" w:lineRule="auto"/>
        <w:rPr>
          <w:rFonts w:ascii="Arial" w:hAnsi="Arial" w:cs="Arial"/>
        </w:rPr>
      </w:pPr>
      <w:r>
        <w:rPr>
          <w:rFonts w:ascii="Arial" w:hAnsi="Arial" w:cs="Arial"/>
        </w:rPr>
        <w:t>This is not an exhaustive list and should be used as a guide, amended as appropriate in light of local knowledge of the risk factors in a particular area.</w:t>
      </w:r>
    </w:p>
    <w:p>
      <w:pPr>
        <w:spacing w:after="240" w:line="240" w:lineRule="auto"/>
        <w:rPr>
          <w:rFonts w:cs="Arial"/>
          <w:szCs w:val="24"/>
        </w:rPr>
      </w:pPr>
    </w:p>
    <w:p>
      <w:pPr>
        <w:spacing w:after="240" w:line="240" w:lineRule="auto"/>
        <w:rPr>
          <w:rFonts w:cs="Arial"/>
          <w:szCs w:val="24"/>
        </w:rPr>
      </w:pPr>
    </w:p>
    <w:p>
      <w:pPr>
        <w:tabs>
          <w:tab w:val="left" w:pos="7294"/>
        </w:tabs>
        <w:spacing w:after="240" w:line="240" w:lineRule="auto"/>
        <w:rPr>
          <w:rFonts w:cs="Arial"/>
          <w:b/>
          <w:sz w:val="22"/>
          <w:szCs w:val="22"/>
        </w:rPr>
      </w:pPr>
      <w:r>
        <w:rPr>
          <w:rFonts w:cs="Arial"/>
          <w:b/>
          <w:sz w:val="22"/>
          <w:szCs w:val="22"/>
        </w:rPr>
        <w:t xml:space="preserve">               </w:t>
      </w:r>
    </w:p>
    <w:p>
      <w:pPr>
        <w:pStyle w:val="3"/>
      </w:pPr>
      <w:bookmarkStart w:id="34" w:name="_Toc49500876"/>
      <w:r>
        <w:rPr>
          <w:rStyle w:val="36"/>
          <w:b/>
        </w:rPr>
        <w:t>Appendix 9 - Child Sexual Exploitation (CSE) and Child Criminal Exploitation (CCE</w:t>
      </w:r>
      <w:r>
        <w:rPr>
          <w:rFonts w:cs="Arial"/>
          <w:b w:val="0"/>
          <w:szCs w:val="22"/>
        </w:rPr>
        <w:t>)</w:t>
      </w:r>
      <w:bookmarkEnd w:id="34"/>
    </w:p>
    <w:p>
      <w:pPr>
        <w:rPr>
          <w:rFonts w:cs="Arial"/>
          <w:szCs w:val="24"/>
        </w:rPr>
      </w:pPr>
      <w:r>
        <w:t>The key indicators of child sexual exploitation include</w:t>
      </w:r>
      <w:r>
        <w:rPr>
          <w:rFonts w:cs="Arial"/>
          <w:szCs w:val="24"/>
        </w:rPr>
        <w:t>:</w:t>
      </w:r>
    </w:p>
    <w:p>
      <w:pPr>
        <w:rPr>
          <w:b/>
        </w:rPr>
      </w:pPr>
      <w:r>
        <w:rPr>
          <w:b/>
        </w:rPr>
        <w:t>Health</w:t>
      </w:r>
    </w:p>
    <w:p>
      <w:pPr>
        <w:numPr>
          <w:ilvl w:val="0"/>
          <w:numId w:val="46"/>
        </w:numPr>
        <w:shd w:val="clear" w:color="auto" w:fill="FFFFFF"/>
        <w:spacing w:after="240" w:line="240" w:lineRule="auto"/>
        <w:ind w:left="643"/>
        <w:rPr>
          <w:rFonts w:cs="Arial"/>
          <w:szCs w:val="24"/>
        </w:rPr>
      </w:pPr>
      <w:r>
        <w:rPr>
          <w:rFonts w:cs="Arial"/>
          <w:szCs w:val="24"/>
        </w:rPr>
        <w:t>physical symptoms (bruising suggestive of either physical or sexual assault)</w:t>
      </w:r>
    </w:p>
    <w:p>
      <w:pPr>
        <w:numPr>
          <w:ilvl w:val="0"/>
          <w:numId w:val="46"/>
        </w:numPr>
        <w:shd w:val="clear" w:color="auto" w:fill="FFFFFF"/>
        <w:spacing w:after="240" w:line="240" w:lineRule="auto"/>
        <w:ind w:left="643"/>
        <w:rPr>
          <w:rFonts w:cs="Arial"/>
          <w:szCs w:val="24"/>
        </w:rPr>
      </w:pPr>
      <w:r>
        <w:rPr>
          <w:rFonts w:cs="Arial"/>
          <w:szCs w:val="24"/>
        </w:rPr>
        <w:t>chronic fatigue</w:t>
      </w:r>
    </w:p>
    <w:p>
      <w:pPr>
        <w:numPr>
          <w:ilvl w:val="0"/>
          <w:numId w:val="46"/>
        </w:numPr>
        <w:shd w:val="clear" w:color="auto" w:fill="FFFFFF"/>
        <w:spacing w:after="240" w:line="240" w:lineRule="auto"/>
        <w:ind w:left="643"/>
        <w:rPr>
          <w:rFonts w:cs="Arial"/>
          <w:szCs w:val="24"/>
        </w:rPr>
      </w:pPr>
      <w:r>
        <w:rPr>
          <w:rFonts w:cs="Arial"/>
          <w:szCs w:val="24"/>
        </w:rPr>
        <w:t>recurring or multiple sexually transmitted infections</w:t>
      </w:r>
    </w:p>
    <w:p>
      <w:pPr>
        <w:numPr>
          <w:ilvl w:val="0"/>
          <w:numId w:val="46"/>
        </w:numPr>
        <w:shd w:val="clear" w:color="auto" w:fill="FFFFFF"/>
        <w:spacing w:after="240" w:line="240" w:lineRule="auto"/>
        <w:ind w:left="643"/>
        <w:rPr>
          <w:rFonts w:cs="Arial"/>
          <w:szCs w:val="24"/>
        </w:rPr>
      </w:pPr>
      <w:r>
        <w:rPr>
          <w:rFonts w:cs="Arial"/>
          <w:szCs w:val="24"/>
        </w:rPr>
        <w:t>pregnancy and/or seeking an abortion</w:t>
      </w:r>
    </w:p>
    <w:p>
      <w:pPr>
        <w:numPr>
          <w:ilvl w:val="0"/>
          <w:numId w:val="46"/>
        </w:numPr>
        <w:shd w:val="clear" w:color="auto" w:fill="FFFFFF"/>
        <w:spacing w:after="240" w:line="240" w:lineRule="auto"/>
        <w:ind w:left="643"/>
        <w:rPr>
          <w:rFonts w:cs="Arial"/>
          <w:szCs w:val="24"/>
        </w:rPr>
      </w:pPr>
      <w:r>
        <w:rPr>
          <w:rFonts w:cs="Arial"/>
          <w:szCs w:val="24"/>
        </w:rPr>
        <w:t>evidence of drug, alcohol or other substance misuse</w:t>
      </w:r>
    </w:p>
    <w:p>
      <w:pPr>
        <w:numPr>
          <w:ilvl w:val="0"/>
          <w:numId w:val="46"/>
        </w:numPr>
        <w:shd w:val="clear" w:color="auto" w:fill="FFFFFF"/>
        <w:spacing w:after="240" w:line="240" w:lineRule="auto"/>
        <w:ind w:left="643"/>
        <w:rPr>
          <w:rFonts w:cs="Arial"/>
          <w:szCs w:val="24"/>
        </w:rPr>
      </w:pPr>
      <w:r>
        <w:rPr>
          <w:rFonts w:cs="Arial"/>
          <w:szCs w:val="24"/>
        </w:rPr>
        <w:t>sexually risky behaviour</w:t>
      </w:r>
    </w:p>
    <w:p>
      <w:pPr>
        <w:rPr>
          <w:b/>
        </w:rPr>
      </w:pPr>
      <w:r>
        <w:rPr>
          <w:b/>
        </w:rPr>
        <w:t>Education</w:t>
      </w:r>
    </w:p>
    <w:p>
      <w:pPr>
        <w:numPr>
          <w:ilvl w:val="0"/>
          <w:numId w:val="47"/>
        </w:numPr>
        <w:shd w:val="clear" w:color="auto" w:fill="FFFFFF"/>
        <w:spacing w:after="240" w:line="240" w:lineRule="auto"/>
        <w:rPr>
          <w:rFonts w:cs="Arial"/>
          <w:szCs w:val="24"/>
        </w:rPr>
      </w:pPr>
      <w:r>
        <w:rPr>
          <w:rFonts w:cs="Arial"/>
          <w:szCs w:val="24"/>
        </w:rPr>
        <w:t>truancy/disengagement with education or considerable change in performance at school</w:t>
      </w:r>
    </w:p>
    <w:p>
      <w:pPr>
        <w:rPr>
          <w:b/>
        </w:rPr>
      </w:pPr>
      <w:r>
        <w:rPr>
          <w:b/>
        </w:rPr>
        <w:t>Emotional and behavioural Issues</w:t>
      </w:r>
    </w:p>
    <w:p>
      <w:pPr>
        <w:numPr>
          <w:ilvl w:val="0"/>
          <w:numId w:val="48"/>
        </w:numPr>
        <w:shd w:val="clear" w:color="auto" w:fill="FFFFFF"/>
        <w:spacing w:after="240" w:line="240" w:lineRule="auto"/>
        <w:ind w:left="643"/>
        <w:rPr>
          <w:rFonts w:cs="Arial"/>
          <w:szCs w:val="24"/>
        </w:rPr>
      </w:pPr>
      <w:r>
        <w:rPr>
          <w:rFonts w:cs="Arial"/>
          <w:szCs w:val="24"/>
        </w:rPr>
        <w:t>volatile behaviour exhibiting extreme array of mood swings or use of abusive language</w:t>
      </w:r>
    </w:p>
    <w:p>
      <w:pPr>
        <w:numPr>
          <w:ilvl w:val="0"/>
          <w:numId w:val="48"/>
        </w:numPr>
        <w:shd w:val="clear" w:color="auto" w:fill="FFFFFF"/>
        <w:spacing w:after="240" w:line="240" w:lineRule="auto"/>
        <w:ind w:left="643"/>
        <w:rPr>
          <w:rFonts w:cs="Arial"/>
          <w:szCs w:val="24"/>
        </w:rPr>
      </w:pPr>
      <w:r>
        <w:rPr>
          <w:rFonts w:cs="Arial"/>
          <w:szCs w:val="24"/>
        </w:rPr>
        <w:t>involvement in petty crime such as shoplifting, stealing</w:t>
      </w:r>
    </w:p>
    <w:p>
      <w:pPr>
        <w:numPr>
          <w:ilvl w:val="0"/>
          <w:numId w:val="48"/>
        </w:numPr>
        <w:shd w:val="clear" w:color="auto" w:fill="FFFFFF"/>
        <w:spacing w:after="240" w:line="240" w:lineRule="auto"/>
        <w:ind w:left="643"/>
        <w:rPr>
          <w:rFonts w:cs="Arial"/>
          <w:szCs w:val="24"/>
        </w:rPr>
      </w:pPr>
      <w:r>
        <w:rPr>
          <w:rFonts w:cs="Arial"/>
          <w:szCs w:val="24"/>
        </w:rPr>
        <w:t>secretive behaviour</w:t>
      </w:r>
    </w:p>
    <w:p>
      <w:pPr>
        <w:numPr>
          <w:ilvl w:val="0"/>
          <w:numId w:val="48"/>
        </w:numPr>
        <w:shd w:val="clear" w:color="auto" w:fill="FFFFFF"/>
        <w:spacing w:after="240" w:line="240" w:lineRule="auto"/>
        <w:ind w:left="643"/>
        <w:rPr>
          <w:rFonts w:cs="Arial"/>
          <w:szCs w:val="24"/>
        </w:rPr>
      </w:pPr>
      <w:r>
        <w:rPr>
          <w:rFonts w:cs="Arial"/>
          <w:szCs w:val="24"/>
        </w:rPr>
        <w:t>entering or leaving vehicles driven by unknown adults</w:t>
      </w:r>
    </w:p>
    <w:p>
      <w:pPr>
        <w:numPr>
          <w:ilvl w:val="0"/>
          <w:numId w:val="48"/>
        </w:numPr>
        <w:shd w:val="clear" w:color="auto" w:fill="FFFFFF"/>
        <w:spacing w:after="240" w:line="240" w:lineRule="auto"/>
        <w:ind w:left="643"/>
        <w:rPr>
          <w:rFonts w:cs="Arial"/>
          <w:szCs w:val="24"/>
        </w:rPr>
      </w:pPr>
      <w:r>
        <w:rPr>
          <w:rFonts w:cs="Arial"/>
          <w:szCs w:val="24"/>
        </w:rPr>
        <w:t>reports of being seen in places known to be used for sexual exploitation, including public toilets known for cottaging or adult venues (pubs and clubs)</w:t>
      </w:r>
    </w:p>
    <w:p>
      <w:pPr>
        <w:rPr>
          <w:b/>
        </w:rPr>
      </w:pPr>
      <w:r>
        <w:rPr>
          <w:b/>
        </w:rPr>
        <w:t>Identity</w:t>
      </w:r>
    </w:p>
    <w:p>
      <w:pPr>
        <w:numPr>
          <w:ilvl w:val="0"/>
          <w:numId w:val="49"/>
        </w:numPr>
        <w:shd w:val="clear" w:color="auto" w:fill="FFFFFF"/>
        <w:spacing w:after="240" w:line="240" w:lineRule="auto"/>
        <w:rPr>
          <w:rFonts w:cs="Arial"/>
          <w:szCs w:val="24"/>
        </w:rPr>
      </w:pPr>
      <w:r>
        <w:rPr>
          <w:rFonts w:cs="Arial"/>
          <w:szCs w:val="24"/>
        </w:rPr>
        <w:t>low self-image, low self-esteem, self-harming behaviour, e.g. cutting, overdosing, eating disorder, promiscuity</w:t>
      </w:r>
    </w:p>
    <w:p>
      <w:pPr>
        <w:rPr>
          <w:b/>
        </w:rPr>
      </w:pPr>
      <w:r>
        <w:rPr>
          <w:b/>
        </w:rPr>
        <w:t>Relationships</w:t>
      </w:r>
    </w:p>
    <w:p>
      <w:pPr>
        <w:numPr>
          <w:ilvl w:val="0"/>
          <w:numId w:val="50"/>
        </w:numPr>
        <w:shd w:val="clear" w:color="auto" w:fill="FFFFFF"/>
        <w:spacing w:after="240" w:line="240" w:lineRule="auto"/>
        <w:ind w:left="643"/>
        <w:rPr>
          <w:rFonts w:cs="Arial"/>
          <w:szCs w:val="24"/>
        </w:rPr>
      </w:pPr>
      <w:r>
        <w:rPr>
          <w:rFonts w:cs="Arial"/>
          <w:szCs w:val="24"/>
        </w:rPr>
        <w:t>hostility in relationships with staff, family members as appropriate and significant others</w:t>
      </w:r>
    </w:p>
    <w:p>
      <w:pPr>
        <w:numPr>
          <w:ilvl w:val="0"/>
          <w:numId w:val="50"/>
        </w:numPr>
        <w:shd w:val="clear" w:color="auto" w:fill="FFFFFF"/>
        <w:spacing w:after="240" w:line="240" w:lineRule="auto"/>
        <w:ind w:left="643"/>
        <w:rPr>
          <w:rFonts w:cs="Arial"/>
          <w:szCs w:val="24"/>
        </w:rPr>
      </w:pPr>
      <w:r>
        <w:rPr>
          <w:rFonts w:cs="Arial"/>
          <w:szCs w:val="24"/>
        </w:rPr>
        <w:t>physical aggression</w:t>
      </w:r>
    </w:p>
    <w:p>
      <w:pPr>
        <w:numPr>
          <w:ilvl w:val="0"/>
          <w:numId w:val="50"/>
        </w:numPr>
        <w:shd w:val="clear" w:color="auto" w:fill="FFFFFF"/>
        <w:spacing w:after="240" w:line="240" w:lineRule="auto"/>
        <w:ind w:left="643"/>
        <w:rPr>
          <w:rFonts w:cs="Arial"/>
          <w:szCs w:val="24"/>
        </w:rPr>
      </w:pPr>
      <w:r>
        <w:rPr>
          <w:rFonts w:cs="Arial"/>
          <w:szCs w:val="24"/>
        </w:rPr>
        <w:t>placement breakdown</w:t>
      </w:r>
    </w:p>
    <w:p>
      <w:pPr>
        <w:numPr>
          <w:ilvl w:val="0"/>
          <w:numId w:val="50"/>
        </w:numPr>
        <w:shd w:val="clear" w:color="auto" w:fill="FFFFFF"/>
        <w:spacing w:after="240" w:line="240" w:lineRule="auto"/>
        <w:ind w:left="643"/>
        <w:rPr>
          <w:rFonts w:cs="Arial"/>
          <w:szCs w:val="24"/>
        </w:rPr>
      </w:pPr>
      <w:r>
        <w:rPr>
          <w:rFonts w:cs="Arial"/>
          <w:szCs w:val="24"/>
        </w:rPr>
        <w:t>reports from reliable sources (e.g. family, friends or other professionals) suggesting the likelihood of involvement in sexual exploitation</w:t>
      </w:r>
    </w:p>
    <w:p>
      <w:pPr>
        <w:numPr>
          <w:ilvl w:val="0"/>
          <w:numId w:val="50"/>
        </w:numPr>
        <w:shd w:val="clear" w:color="auto" w:fill="FFFFFF"/>
        <w:spacing w:after="240" w:line="240" w:lineRule="auto"/>
        <w:ind w:left="643"/>
        <w:rPr>
          <w:rFonts w:cs="Arial"/>
          <w:szCs w:val="24"/>
        </w:rPr>
      </w:pPr>
      <w:r>
        <w:rPr>
          <w:rFonts w:cs="Arial"/>
          <w:szCs w:val="24"/>
        </w:rPr>
        <w:t>detachment from age-appropriate activities</w:t>
      </w:r>
    </w:p>
    <w:p>
      <w:pPr>
        <w:numPr>
          <w:ilvl w:val="0"/>
          <w:numId w:val="50"/>
        </w:numPr>
        <w:shd w:val="clear" w:color="auto" w:fill="FFFFFF"/>
        <w:spacing w:after="240" w:line="240" w:lineRule="auto"/>
        <w:ind w:left="643"/>
        <w:rPr>
          <w:rFonts w:cs="Arial"/>
          <w:szCs w:val="24"/>
        </w:rPr>
      </w:pPr>
      <w:r>
        <w:rPr>
          <w:rFonts w:cs="Arial"/>
          <w:szCs w:val="24"/>
        </w:rPr>
        <w:t>associating with other young people who are known to be sexually exploited</w:t>
      </w:r>
    </w:p>
    <w:p>
      <w:pPr>
        <w:numPr>
          <w:ilvl w:val="0"/>
          <w:numId w:val="50"/>
        </w:numPr>
        <w:shd w:val="clear" w:color="auto" w:fill="FFFFFF"/>
        <w:spacing w:after="240" w:line="240" w:lineRule="auto"/>
        <w:ind w:left="643"/>
        <w:rPr>
          <w:rFonts w:cs="Arial"/>
          <w:szCs w:val="24"/>
        </w:rPr>
      </w:pPr>
      <w:r>
        <w:rPr>
          <w:rFonts w:cs="Arial"/>
          <w:szCs w:val="24"/>
        </w:rPr>
        <w:t>known to be sexually active</w:t>
      </w:r>
    </w:p>
    <w:p>
      <w:pPr>
        <w:numPr>
          <w:ilvl w:val="0"/>
          <w:numId w:val="50"/>
        </w:numPr>
        <w:shd w:val="clear" w:color="auto" w:fill="FFFFFF"/>
        <w:spacing w:after="240" w:line="240" w:lineRule="auto"/>
        <w:ind w:left="643"/>
        <w:rPr>
          <w:rFonts w:cs="Arial"/>
          <w:szCs w:val="24"/>
        </w:rPr>
      </w:pPr>
      <w:r>
        <w:rPr>
          <w:rFonts w:cs="Arial"/>
          <w:szCs w:val="24"/>
        </w:rPr>
        <w:t>sexual relationship with a significantly older person, or younger person who is suspected of being abusive</w:t>
      </w:r>
    </w:p>
    <w:p>
      <w:pPr>
        <w:numPr>
          <w:ilvl w:val="0"/>
          <w:numId w:val="50"/>
        </w:numPr>
        <w:shd w:val="clear" w:color="auto" w:fill="FFFFFF"/>
        <w:spacing w:after="240" w:line="240" w:lineRule="auto"/>
        <w:ind w:left="643"/>
        <w:rPr>
          <w:rFonts w:cs="Arial"/>
          <w:szCs w:val="24"/>
        </w:rPr>
      </w:pPr>
      <w:r>
        <w:rPr>
          <w:rFonts w:cs="Arial"/>
          <w:szCs w:val="24"/>
        </w:rPr>
        <w:t>unexplained relationships with older adults</w:t>
      </w:r>
    </w:p>
    <w:p>
      <w:pPr>
        <w:numPr>
          <w:ilvl w:val="0"/>
          <w:numId w:val="50"/>
        </w:numPr>
        <w:shd w:val="clear" w:color="auto" w:fill="FFFFFF"/>
        <w:spacing w:after="240" w:line="240" w:lineRule="auto"/>
        <w:ind w:left="643"/>
        <w:rPr>
          <w:rFonts w:cs="Arial"/>
          <w:szCs w:val="24"/>
        </w:rPr>
      </w:pPr>
      <w:r>
        <w:rPr>
          <w:rFonts w:cs="Arial"/>
          <w:szCs w:val="24"/>
        </w:rPr>
        <w:t>possible inappropriate use of the Internet and forming relationships, particularly with adults, via the Internet</w:t>
      </w:r>
    </w:p>
    <w:p>
      <w:pPr>
        <w:numPr>
          <w:ilvl w:val="0"/>
          <w:numId w:val="50"/>
        </w:numPr>
        <w:shd w:val="clear" w:color="auto" w:fill="FFFFFF"/>
        <w:spacing w:after="240" w:line="240" w:lineRule="auto"/>
        <w:ind w:left="643"/>
        <w:rPr>
          <w:rFonts w:cs="Arial"/>
          <w:szCs w:val="24"/>
        </w:rPr>
      </w:pPr>
      <w:r>
        <w:rPr>
          <w:rFonts w:cs="Arial"/>
          <w:szCs w:val="24"/>
        </w:rPr>
        <w:t>phone calls, text messages or letters from unknown adults</w:t>
      </w:r>
    </w:p>
    <w:p>
      <w:pPr>
        <w:numPr>
          <w:ilvl w:val="0"/>
          <w:numId w:val="50"/>
        </w:numPr>
        <w:shd w:val="clear" w:color="auto" w:fill="FFFFFF"/>
        <w:spacing w:after="240" w:line="240" w:lineRule="auto"/>
        <w:ind w:left="643"/>
        <w:rPr>
          <w:rFonts w:cs="Arial"/>
          <w:szCs w:val="24"/>
        </w:rPr>
      </w:pPr>
      <w:r>
        <w:rPr>
          <w:rFonts w:cs="Arial"/>
          <w:szCs w:val="24"/>
        </w:rPr>
        <w:t>adults or older youths loitering outside the home</w:t>
      </w:r>
    </w:p>
    <w:p>
      <w:pPr>
        <w:numPr>
          <w:ilvl w:val="0"/>
          <w:numId w:val="50"/>
        </w:numPr>
        <w:shd w:val="clear" w:color="auto" w:fill="FFFFFF"/>
        <w:spacing w:after="240" w:line="240" w:lineRule="auto"/>
        <w:ind w:left="643"/>
        <w:rPr>
          <w:rFonts w:cs="Arial"/>
          <w:szCs w:val="24"/>
        </w:rPr>
      </w:pPr>
      <w:r>
        <w:rPr>
          <w:rFonts w:cs="Arial"/>
          <w:szCs w:val="24"/>
        </w:rPr>
        <w:t>persistently missing, staying out overnight or returning late with no plausible explanation</w:t>
      </w:r>
    </w:p>
    <w:p>
      <w:pPr>
        <w:numPr>
          <w:ilvl w:val="0"/>
          <w:numId w:val="50"/>
        </w:numPr>
        <w:shd w:val="clear" w:color="auto" w:fill="FFFFFF"/>
        <w:spacing w:after="240" w:line="240" w:lineRule="auto"/>
        <w:ind w:left="643"/>
        <w:rPr>
          <w:rFonts w:cs="Arial"/>
          <w:szCs w:val="24"/>
        </w:rPr>
      </w:pPr>
      <w:r>
        <w:rPr>
          <w:rFonts w:cs="Arial"/>
          <w:szCs w:val="24"/>
        </w:rPr>
        <w:t>returning after having been missing, looking well cared for in spite of having no known home base</w:t>
      </w:r>
    </w:p>
    <w:p>
      <w:pPr>
        <w:numPr>
          <w:ilvl w:val="0"/>
          <w:numId w:val="50"/>
        </w:numPr>
        <w:shd w:val="clear" w:color="auto" w:fill="FFFFFF"/>
        <w:spacing w:after="240" w:line="240" w:lineRule="auto"/>
        <w:ind w:left="643"/>
        <w:rPr>
          <w:rFonts w:cs="Arial"/>
          <w:szCs w:val="24"/>
        </w:rPr>
      </w:pPr>
      <w:r>
        <w:rPr>
          <w:rFonts w:cs="Arial"/>
          <w:szCs w:val="24"/>
        </w:rPr>
        <w:t>missing for long periods, with no known home base</w:t>
      </w:r>
    </w:p>
    <w:p>
      <w:pPr>
        <w:numPr>
          <w:ilvl w:val="0"/>
          <w:numId w:val="50"/>
        </w:numPr>
        <w:shd w:val="clear" w:color="auto" w:fill="FFFFFF"/>
        <w:spacing w:after="240" w:line="240" w:lineRule="auto"/>
        <w:ind w:left="643"/>
        <w:rPr>
          <w:rFonts w:cs="Arial"/>
          <w:szCs w:val="24"/>
        </w:rPr>
      </w:pPr>
      <w:r>
        <w:rPr>
          <w:rFonts w:cs="Arial"/>
          <w:szCs w:val="24"/>
        </w:rPr>
        <w:t>going missing and being found in areas where they have no known links</w:t>
      </w:r>
    </w:p>
    <w:p>
      <w:pPr>
        <w:pStyle w:val="27"/>
        <w:shd w:val="clear" w:color="auto" w:fill="FFFFFF"/>
        <w:spacing w:before="0" w:beforeAutospacing="0" w:after="240" w:afterAutospacing="0" w:line="240" w:lineRule="auto"/>
        <w:rPr>
          <w:rFonts w:ascii="Arial" w:hAnsi="Arial" w:cs="Arial"/>
        </w:rPr>
      </w:pPr>
      <w:r>
        <w:rPr>
          <w:rFonts w:ascii="Arial" w:hAnsi="Arial" w:cs="Arial"/>
        </w:rPr>
        <w:t>Please note: Whilst the focus is often on older men as perpetrators, younger men and women may also be involved and staff should be aware of this possibility.</w:t>
      </w:r>
    </w:p>
    <w:p>
      <w:pPr>
        <w:rPr>
          <w:b/>
        </w:rPr>
      </w:pPr>
      <w:r>
        <w:rPr>
          <w:b/>
        </w:rPr>
        <w:t>Social presentation</w:t>
      </w:r>
    </w:p>
    <w:p>
      <w:pPr>
        <w:numPr>
          <w:ilvl w:val="0"/>
          <w:numId w:val="51"/>
        </w:numPr>
        <w:shd w:val="clear" w:color="auto" w:fill="FFFFFF"/>
        <w:spacing w:after="240" w:line="240" w:lineRule="auto"/>
        <w:rPr>
          <w:rFonts w:cs="Arial"/>
          <w:szCs w:val="24"/>
        </w:rPr>
      </w:pPr>
      <w:r>
        <w:rPr>
          <w:rFonts w:cs="Arial"/>
          <w:szCs w:val="24"/>
        </w:rPr>
        <w:t>change in appearance</w:t>
      </w:r>
    </w:p>
    <w:p>
      <w:pPr>
        <w:numPr>
          <w:ilvl w:val="0"/>
          <w:numId w:val="51"/>
        </w:numPr>
        <w:shd w:val="clear" w:color="auto" w:fill="FFFFFF"/>
        <w:spacing w:after="240" w:line="240" w:lineRule="auto"/>
        <w:rPr>
          <w:rFonts w:cs="Arial"/>
          <w:szCs w:val="24"/>
        </w:rPr>
      </w:pPr>
      <w:r>
        <w:rPr>
          <w:rFonts w:cs="Arial"/>
          <w:szCs w:val="24"/>
        </w:rPr>
        <w:t>going out dressed in clothing unusual for them (inappropriate for age, borrowing clothing from older young people)</w:t>
      </w:r>
    </w:p>
    <w:p>
      <w:pPr>
        <w:rPr>
          <w:b/>
        </w:rPr>
      </w:pPr>
      <w:r>
        <w:rPr>
          <w:b/>
        </w:rPr>
        <w:t>Family and environmental factors</w:t>
      </w:r>
    </w:p>
    <w:p>
      <w:pPr>
        <w:numPr>
          <w:ilvl w:val="0"/>
          <w:numId w:val="52"/>
        </w:numPr>
        <w:shd w:val="clear" w:color="auto" w:fill="FFFFFF"/>
        <w:spacing w:after="240" w:line="240" w:lineRule="auto"/>
        <w:ind w:left="643"/>
        <w:rPr>
          <w:rFonts w:cs="Arial"/>
          <w:szCs w:val="24"/>
        </w:rPr>
      </w:pPr>
      <w:r>
        <w:rPr>
          <w:rFonts w:cs="Arial"/>
          <w:szCs w:val="24"/>
        </w:rPr>
        <w:t>history of physical, sexual, and/or emotional abuse; neglect; domestic violence; parental difficulties</w:t>
      </w:r>
    </w:p>
    <w:p>
      <w:pPr>
        <w:rPr>
          <w:b/>
        </w:rPr>
      </w:pPr>
      <w:r>
        <w:rPr>
          <w:b/>
        </w:rPr>
        <w:t>Housing</w:t>
      </w:r>
    </w:p>
    <w:p>
      <w:pPr>
        <w:numPr>
          <w:ilvl w:val="0"/>
          <w:numId w:val="53"/>
        </w:numPr>
        <w:shd w:val="clear" w:color="auto" w:fill="FFFFFF"/>
        <w:spacing w:after="240" w:line="240" w:lineRule="auto"/>
        <w:ind w:left="643"/>
        <w:rPr>
          <w:rFonts w:cs="Arial"/>
          <w:szCs w:val="24"/>
        </w:rPr>
      </w:pPr>
      <w:r>
        <w:rPr>
          <w:rFonts w:cs="Arial"/>
          <w:szCs w:val="24"/>
        </w:rPr>
        <w:t>pattern of previous street homelessness</w:t>
      </w:r>
    </w:p>
    <w:p>
      <w:pPr>
        <w:numPr>
          <w:ilvl w:val="0"/>
          <w:numId w:val="53"/>
        </w:numPr>
        <w:shd w:val="clear" w:color="auto" w:fill="FFFFFF"/>
        <w:spacing w:after="240" w:line="240" w:lineRule="auto"/>
        <w:ind w:left="643"/>
        <w:rPr>
          <w:rFonts w:cs="Arial"/>
          <w:szCs w:val="24"/>
        </w:rPr>
      </w:pPr>
      <w:r>
        <w:rPr>
          <w:rFonts w:cs="Arial"/>
          <w:szCs w:val="24"/>
        </w:rPr>
        <w:t>having keys to premises other than those known about</w:t>
      </w:r>
    </w:p>
    <w:p>
      <w:pPr>
        <w:rPr>
          <w:b/>
        </w:rPr>
      </w:pPr>
      <w:r>
        <w:rPr>
          <w:b/>
        </w:rPr>
        <w:t>Income</w:t>
      </w:r>
    </w:p>
    <w:p>
      <w:pPr>
        <w:numPr>
          <w:ilvl w:val="0"/>
          <w:numId w:val="54"/>
        </w:numPr>
        <w:shd w:val="clear" w:color="auto" w:fill="FFFFFF"/>
        <w:spacing w:after="240" w:line="240" w:lineRule="auto"/>
        <w:ind w:left="643"/>
        <w:rPr>
          <w:rFonts w:cs="Arial"/>
          <w:szCs w:val="24"/>
        </w:rPr>
      </w:pPr>
      <w:r>
        <w:rPr>
          <w:rFonts w:cs="Arial"/>
          <w:szCs w:val="24"/>
        </w:rPr>
        <w:t>possession of large amounts of money with no plausible explanation</w:t>
      </w:r>
    </w:p>
    <w:p>
      <w:pPr>
        <w:numPr>
          <w:ilvl w:val="0"/>
          <w:numId w:val="54"/>
        </w:numPr>
        <w:shd w:val="clear" w:color="auto" w:fill="FFFFFF"/>
        <w:spacing w:after="240" w:line="240" w:lineRule="auto"/>
        <w:ind w:left="643"/>
        <w:rPr>
          <w:rFonts w:cs="Arial"/>
          <w:szCs w:val="24"/>
        </w:rPr>
      </w:pPr>
      <w:r>
        <w:rPr>
          <w:rFonts w:cs="Arial"/>
          <w:szCs w:val="24"/>
        </w:rPr>
        <w:t>acquisition of expensive clothes, mobile phones or other possessions without plausible explanation</w:t>
      </w:r>
    </w:p>
    <w:p>
      <w:pPr>
        <w:numPr>
          <w:ilvl w:val="0"/>
          <w:numId w:val="54"/>
        </w:numPr>
        <w:shd w:val="clear" w:color="auto" w:fill="FFFFFF"/>
        <w:spacing w:after="240" w:line="240" w:lineRule="auto"/>
        <w:ind w:left="643"/>
        <w:rPr>
          <w:rFonts w:cs="Arial"/>
          <w:szCs w:val="24"/>
        </w:rPr>
      </w:pPr>
      <w:r>
        <w:rPr>
          <w:rFonts w:cs="Arial"/>
          <w:szCs w:val="24"/>
        </w:rPr>
        <w:t>accounts of social activities with no plausible explanation of the source of necessary funding</w:t>
      </w:r>
    </w:p>
    <w:p>
      <w:pPr>
        <w:pStyle w:val="27"/>
        <w:shd w:val="clear" w:color="auto" w:fill="FFFFFF"/>
        <w:spacing w:before="0" w:beforeAutospacing="0" w:after="240" w:afterAutospacing="0" w:line="240" w:lineRule="auto"/>
        <w:rPr>
          <w:rFonts w:ascii="Arial" w:hAnsi="Arial" w:cs="Arial"/>
        </w:rPr>
      </w:pPr>
      <w:r>
        <w:rPr>
          <w:rFonts w:ascii="Arial" w:hAnsi="Arial" w:cs="Arial"/>
        </w:rPr>
        <w:t>This list is not exhaustive.</w:t>
      </w:r>
    </w:p>
    <w:p>
      <w:pPr>
        <w:spacing w:after="240" w:line="240" w:lineRule="auto"/>
        <w:rPr>
          <w:rFonts w:cs="Arial"/>
          <w:szCs w:val="24"/>
        </w:rPr>
      </w:pPr>
      <w:r>
        <w:rPr>
          <w:rFonts w:cs="Arial"/>
          <w:szCs w:val="24"/>
        </w:rPr>
        <w:t>Early years practitioners should be aware that many children and young people who are sexually exploited do not see themselves as victims.</w:t>
      </w:r>
    </w:p>
    <w:p>
      <w:pPr>
        <w:pStyle w:val="3"/>
        <w:rPr>
          <w:rFonts w:cs="Arial"/>
          <w:b w:val="0"/>
          <w:sz w:val="22"/>
          <w:szCs w:val="22"/>
        </w:rPr>
      </w:pPr>
    </w:p>
    <w:p>
      <w:pPr>
        <w:pStyle w:val="3"/>
      </w:pPr>
      <w:bookmarkStart w:id="35" w:name="_Toc49500877"/>
      <w:r>
        <w:t>Appendix 10 - Information Sharing advice for practitioners providing safeguarding services to children, young people, parents and carers (July 2018)</w:t>
      </w:r>
      <w:bookmarkEnd w:id="35"/>
    </w:p>
    <w:p>
      <w:pPr>
        <w:spacing w:after="240"/>
        <w:rPr>
          <w:szCs w:val="24"/>
        </w:rPr>
      </w:pPr>
      <w:r>
        <w:fldChar w:fldCharType="begin"/>
      </w:r>
      <w:r>
        <w:instrText xml:space="preserve"> HYPERLINK "https://assets.publishing.service.gov.uk/government/uploads/system/uploads/attachment_data/file/721581/Information_sharing_advice_practitioners_safeguarding_services.pdf" </w:instrText>
      </w:r>
      <w:r>
        <w:fldChar w:fldCharType="separate"/>
      </w:r>
      <w:r>
        <w:rPr>
          <w:rStyle w:val="26"/>
          <w:szCs w:val="24"/>
        </w:rPr>
        <w:t>This HM Government advice</w:t>
      </w:r>
      <w:r>
        <w:rPr>
          <w:rStyle w:val="26"/>
          <w:szCs w:val="24"/>
        </w:rPr>
        <w:fldChar w:fldCharType="end"/>
      </w:r>
      <w:r>
        <w:rPr>
          <w:szCs w:val="24"/>
        </w:rPr>
        <w:t xml:space="preserve"> is non-statutory, and has been produced to support practitioners in the decisions they take to share information, which reduces risk of harm to children and young people and promotes their well-being.</w:t>
      </w:r>
    </w:p>
    <w:p>
      <w:pPr>
        <w:spacing w:after="240"/>
        <w:rPr>
          <w:szCs w:val="24"/>
        </w:rPr>
      </w:pPr>
      <w:r>
        <w:rPr>
          <w:szCs w:val="24"/>
        </w:rPr>
        <w:t>This guidance does not deal with arrangements for bulk or pre-agreed sharing of personal information between IT systems or organisations other than to explain their role in effective information governance.</w:t>
      </w:r>
    </w:p>
    <w:p>
      <w:pPr>
        <w:spacing w:after="240"/>
        <w:rPr>
          <w:szCs w:val="24"/>
        </w:rPr>
      </w:pPr>
      <w:r>
        <w:rPr>
          <w:szCs w:val="24"/>
        </w:rPr>
        <w:t xml:space="preserve">This guidance has been updated to reflect the General Data Protection Regulation (GDPR) and Data Protection Act 2018, and it supersedes the HM Government </w:t>
      </w:r>
      <w:r>
        <w:rPr>
          <w:i/>
          <w:szCs w:val="24"/>
        </w:rPr>
        <w:t xml:space="preserve">Information sharing guidance for practitioners and managers </w:t>
      </w:r>
      <w:r>
        <w:rPr>
          <w:szCs w:val="24"/>
        </w:rPr>
        <w:t>published in March 2015.</w:t>
      </w:r>
    </w:p>
    <w:p>
      <w:pPr>
        <w:spacing w:after="240" w:line="240" w:lineRule="auto"/>
        <w:rPr>
          <w:rFonts w:cs="Arial"/>
          <w:b/>
          <w:szCs w:val="24"/>
        </w:rPr>
      </w:pPr>
      <w:r>
        <w:rPr>
          <w:rFonts w:cs="Arial"/>
          <w:b/>
          <w:szCs w:val="24"/>
        </w:rPr>
        <w:t xml:space="preserve"> </w:t>
      </w:r>
    </w:p>
    <w:p>
      <w:pPr>
        <w:spacing w:after="240" w:line="240" w:lineRule="auto"/>
        <w:rPr>
          <w:rFonts w:cs="Arial"/>
          <w:b/>
          <w:szCs w:val="24"/>
        </w:rPr>
      </w:pPr>
    </w:p>
    <w:p>
      <w:pPr>
        <w:spacing w:after="240" w:line="240" w:lineRule="auto"/>
        <w:rPr>
          <w:rFonts w:cs="Arial"/>
          <w:b/>
          <w:sz w:val="22"/>
          <w:szCs w:val="22"/>
        </w:rPr>
        <w:sectPr>
          <w:footerReference r:id="rId5" w:type="default"/>
          <w:pgSz w:w="11906" w:h="16838"/>
          <w:pgMar w:top="720" w:right="720" w:bottom="720" w:left="1418" w:header="708" w:footer="0" w:gutter="0"/>
          <w:cols w:space="708" w:num="1"/>
          <w:docGrid w:linePitch="360" w:charSpace="0"/>
        </w:sectPr>
      </w:pPr>
    </w:p>
    <w:p>
      <w:pPr>
        <w:pStyle w:val="3"/>
        <w:rPr>
          <w:rFonts w:cs="Arial"/>
          <w:b w:val="0"/>
          <w:sz w:val="22"/>
          <w:szCs w:val="22"/>
        </w:rPr>
      </w:pPr>
      <w:bookmarkStart w:id="36" w:name="_Toc49500878"/>
      <w:r>
        <w:rPr>
          <w:rStyle w:val="36"/>
          <w:b/>
        </w:rPr>
        <w:t>Appendix11 - What to do</w:t>
      </w:r>
      <w:r>
        <w:rPr>
          <w:b w:val="0"/>
        </w:rPr>
        <w:t xml:space="preserve"> </w:t>
      </w:r>
      <w:r>
        <w:t>if you are concerned about a child</w:t>
      </w:r>
      <w:bookmarkEnd w:id="36"/>
      <w:r>
        <w:rPr>
          <w:b w:val="0"/>
        </w:rPr>
        <w:t xml:space="preserve"> </w:t>
      </w:r>
    </w:p>
    <w:p>
      <w:pPr>
        <w:rPr>
          <w:b/>
        </w:rPr>
      </w:pPr>
      <w:r>
        <w:rPr>
          <w:rStyle w:val="36"/>
        </w:rPr>
        <mc:AlternateContent>
          <mc:Choice Requires="wpg">
            <w:drawing>
              <wp:anchor distT="0" distB="0" distL="114300" distR="114300" simplePos="0" relativeHeight="251660288" behindDoc="0" locked="0" layoutInCell="1" allowOverlap="1">
                <wp:simplePos x="0" y="0"/>
                <wp:positionH relativeFrom="margin">
                  <wp:posOffset>1323975</wp:posOffset>
                </wp:positionH>
                <wp:positionV relativeFrom="paragraph">
                  <wp:posOffset>248285</wp:posOffset>
                </wp:positionV>
                <wp:extent cx="8029575" cy="54387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8029575" cy="5438775"/>
                          <a:chOff x="0" y="0"/>
                          <a:chExt cx="8509000" cy="5181600"/>
                        </a:xfrm>
                      </wpg:grpSpPr>
                      <wps:wsp>
                        <wps:cNvPr id="25" name="Flowchart: Alternate Process 25"/>
                        <wps:cNvSpPr/>
                        <wps:spPr>
                          <a:xfrm>
                            <a:off x="6773333" y="4436533"/>
                            <a:ext cx="1735667" cy="745067"/>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 name="Group 2"/>
                        <wpg:cNvGrpSpPr/>
                        <wpg:grpSpPr>
                          <a:xfrm>
                            <a:off x="0" y="0"/>
                            <a:ext cx="8406977" cy="5020733"/>
                            <a:chOff x="0" y="0"/>
                            <a:chExt cx="8406977" cy="5020733"/>
                          </a:xfrm>
                        </wpg:grpSpPr>
                        <wps:wsp>
                          <wps:cNvPr id="3" name="Flowchart: Alternate Process 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color w:val="000000" w:themeColor="text1"/>
                                    <w14:textFill>
                                      <w14:solidFill>
                                        <w14:schemeClr w14:val="tx1"/>
                                      </w14:solidFill>
                                    </w14:textFill>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Flowchart: Alternate Process 3"/>
                          <wps:cNvSpPr/>
                          <wps:spPr>
                            <a:xfrm>
                              <a:off x="2726267" y="812800"/>
                              <a:ext cx="2895600" cy="66865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Record the concern whether this be electronically or on paper</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Flowchart: Alternate Process 6"/>
                          <wps:cNvSpPr/>
                          <wps:spPr>
                            <a:xfrm>
                              <a:off x="2726267" y="1718733"/>
                              <a:ext cx="2895600" cy="735709"/>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color w:val="000000" w:themeColor="text1"/>
                                    <w14:textFill>
                                      <w14:solidFill>
                                        <w14:schemeClr w14:val="tx1"/>
                                      </w14:solidFill>
                                    </w14:textFill>
                                  </w:rPr>
                                  <w:t>Refer to the threshold documentation – where does the concern sit?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Flowchart: Alternate Process 8"/>
                          <wps:cNvSpPr/>
                          <wps:spPr>
                            <a:xfrm>
                              <a:off x="2726267" y="3496733"/>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Flowchart: Alternate Process 10"/>
                          <wps:cNvSpPr/>
                          <wps:spPr>
                            <a:xfrm>
                              <a:off x="8467" y="3564467"/>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Yes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Flowchart: Alternate Process 16"/>
                          <wps:cNvSpPr/>
                          <wps:spPr>
                            <a:xfrm>
                              <a:off x="2726198" y="2556718"/>
                              <a:ext cx="2912110" cy="74927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Straight Arrow Connector 21"/>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Flowchart: Alternate Process 23"/>
                          <wps:cNvSpPr/>
                          <wps:spPr>
                            <a:xfrm>
                              <a:off x="6739467" y="35729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No</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Flowchart: Alternate Process 24"/>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Referral into the MASH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Straight Arrow Connector 27"/>
                          <wps:cNvCnPr/>
                          <wps:spPr>
                            <a:xfrm>
                              <a:off x="4182533" y="5672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4174067" y="14816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6" idx="2"/>
                          </wps:cNvCnPr>
                          <wps:spPr>
                            <a:xfrm>
                              <a:off x="4174067" y="2454442"/>
                              <a:ext cx="0" cy="1024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4191000" y="32681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104.25pt;margin-top:19.55pt;height:428.25pt;width:632.25pt;mso-position-horizontal-relative:margin;z-index:251660288;mso-width-relative:page;mso-height-relative:page;" coordsize="8509000,5181600" o:gfxdata="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">
                <o:lock v:ext="edit" aspectratio="f"/>
                <v:shape id="_x0000_s1026" o:spid="_x0000_s1026" o:spt="176" type="#_x0000_t176" style="position:absolute;left:6773333;top:4436533;height:745067;width:1735667;v-text-anchor:middle;" fillcolor="#FFFFFF [3212]" filled="t" stroked="t" coordsize="21600,21600" o:gfxdata="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ybebsAAADb&#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What further support can be implemented? EHA? Support for the family?</w:t>
                        </w:r>
                      </w:p>
                    </w:txbxContent>
                  </v:textbox>
                </v:shape>
                <v:group id="Group 2" o:spid="_x0000_s1026" o:spt="203" style="position:absolute;left:0;top:0;height:5020733;width:8406977;" coordsize="8406977,5020733"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Flowchart: Alternate Process 1" o:spid="_x0000_s1026" o:spt="176" type="#_x0000_t176" style="position:absolute;left:2683933;top:0;height:558800;width:2886710;v-text-anchor:middle;" fillcolor="#FFFFFF [3212]" filled="t" stroked="t" coordsize="21600,21600" o:gfxdata="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mqeugAAANoA&#10;AAAPAAAAAAAAAAEAIAAAACIAAABkcnMvZG93bnJldi54bWxQSwECFAAUAAAACACHTuJAMy8FnjsA&#10;AAA5AAAAEAAAAAAAAAABACAAAAAJAQAAZHJzL3NoYXBleG1sLnhtbFBLBQYAAAAABgAGAFsBAACz&#10;AwAAAAA=&#10;">
                    <v:fill on="t" focussize="0,0"/>
                    <v:stroke weight="2pt" color="#000000 [3213]" joinstyle="round"/>
                    <v:imagedata o:title=""/>
                    <o:lock v:ext="edit" aspectratio="f"/>
                    <v:textbox>
                      <w:txbxContent>
                        <w:p>
                          <w:pPr>
                            <w:jc w:val="center"/>
                          </w:pPr>
                          <w:r>
                            <w:rPr>
                              <w:color w:val="000000" w:themeColor="text1"/>
                              <w14:textFill>
                                <w14:solidFill>
                                  <w14:schemeClr w14:val="tx1"/>
                                </w14:solidFill>
                              </w14:textFill>
                            </w:rPr>
                            <w:t xml:space="preserve">A concern becomes apparent about a child </w:t>
                          </w:r>
                        </w:p>
                      </w:txbxContent>
                    </v:textbox>
                  </v:shape>
                  <v:shape id="Flowchart: Alternate Process 3" o:spid="_x0000_s1026" o:spt="176" type="#_x0000_t176" style="position:absolute;left:2726267;top:812800;height:668655;width:2895600;v-text-anchor:middle;" fillcolor="#FFFFFF [3212]" filled="t" stroked="t" coordsize="21600,21600" o:gfxdata="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M1dxugAAANoA&#10;AAAPAAAAAAAAAAEAIAAAACIAAABkcnMvZG93bnJldi54bWxQSwECFAAUAAAACACHTuJAMy8FnjsA&#10;AAA5AAAAEAAAAAAAAAABACAAAAAJAQAAZHJzL3NoYXBleG1sLnhtbFBLBQYAAAAABgAGAFsBAACz&#10;Aw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Record the concern whether this be electronically or on paper</w:t>
                          </w:r>
                        </w:p>
                      </w:txbxContent>
                    </v:textbox>
                  </v:shape>
                  <v:shape id="_x0000_s1026" o:spid="_x0000_s1026" o:spt="176" type="#_x0000_t176" style="position:absolute;left:2726267;top:1718733;height:735709;width:2895600;v-text-anchor:middle;" fillcolor="#FFFFFF [3212]" filled="t" stroked="t" coordsize="21600,21600" o:gfxdata="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4ckGugAAANoA&#10;AAAPAAAAAAAAAAEAIAAAACIAAABkcnMvZG93bnJldi54bWxQSwECFAAUAAAACACHTuJAMy8FnjsA&#10;AAA5AAAAEAAAAAAAAAABACAAAAAJAQAAZHJzL3NoYXBleG1sLnhtbFBLBQYAAAAABgAGAFsBAACz&#10;AwAAAAA=&#10;">
                    <v:fill on="t" focussize="0,0"/>
                    <v:stroke weight="2pt" color="#000000 [3213]" joinstyle="round"/>
                    <v:imagedata o:title=""/>
                    <o:lock v:ext="edit" aspectratio="f"/>
                    <v:textbox>
                      <w:txbxContent>
                        <w:p>
                          <w:pPr>
                            <w:jc w:val="center"/>
                          </w:pPr>
                          <w:r>
                            <w:rPr>
                              <w:color w:val="000000" w:themeColor="text1"/>
                              <w14:textFill>
                                <w14:solidFill>
                                  <w14:schemeClr w14:val="tx1"/>
                                </w14:solidFill>
                              </w14:textFill>
                            </w:rPr>
                            <w:t>Refer to the threshold documentation – where does the concern sit?</w:t>
                          </w:r>
                        </w:p>
                      </w:txbxContent>
                    </v:textbox>
                  </v:shape>
                  <v:shape id="_x0000_s1026" o:spid="_x0000_s1026" o:spt="176" type="#_x0000_t176" style="position:absolute;left:2726267;top:3496733;height:702310;width:2903855;v-text-anchor:middle;" fillcolor="#FFFFFF [3212]" filled="t" stroked="t" coordsize="21600,21600" o:gfxdata="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wy+O+2AAAA2gAAAA8A&#10;AAAAAAAAAQAgAAAAIgAAAGRycy9kb3ducmV2LnhtbFBLAQIUABQAAAAIAIdO4kAzLwWeOwAAADkA&#10;AAAQAAAAAAAAAAEAIAAAAAUBAABkcnMvc2hhcGV4bWwueG1sUEsFBgAAAAAGAAYAWwEAAK8DAAAA&#10;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Does the concern meet level 4 – significant harm?</w:t>
                          </w:r>
                        </w:p>
                      </w:txbxContent>
                    </v:textbox>
                  </v:shape>
                  <v:shape id="_x0000_s1026" o:spid="_x0000_s1026" o:spt="176" type="#_x0000_t176" style="position:absolute;left:8467;top:3564467;height:533400;width:1667510;v-text-anchor:middle;" fillcolor="#FFFFFF [3212]" filled="t" stroked="t" coordsize="21600,21600" o:gfxdata="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fyXLsAAADb&#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Yes</w:t>
                          </w:r>
                        </w:p>
                      </w:txbxContent>
                    </v:textbox>
                  </v:shape>
                  <v:shape id="_x0000_s1026" o:spid="_x0000_s1026" o:spt="176" type="#_x0000_t176" style="position:absolute;left:2726198;top:2556718;height:749275;width:2912110;v-text-anchor:middle;" fillcolor="#FFFFFF [3212]" filled="t" stroked="t" coordsize="21600,21600" o:gfxdata="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7yz7O5AAAA2wAA&#10;AA8AAAAAAAAAAQAgAAAAIgAAAGRycy9kb3ducmV2LnhtbFBLAQIUABQAAAAIAIdO4kAzLwWeOwAA&#10;ADkAAAAQAAAAAAAAAAEAIAAAAAgBAABkcnMvc2hhcGV4bWwueG1sUEsFBgAAAAAGAAYAWwEAALID&#10;A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Do parents/carers need to be spoken to? Could this put the child at further risk of harm?</w:t>
                          </w:r>
                        </w:p>
                      </w:txbxContent>
                    </v:textbox>
                  </v:shape>
                  <v:shape id="_x0000_s1026" o:spid="_x0000_s1026" o:spt="32" type="#_x0000_t32" style="position:absolute;left:1803400;top:3810000;flip:x;height:0;width:838200;" filled="f" stroked="t" coordsize="21600,21600" o:gfxdata="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3dNyvQAA&#10;ANsAAAAPAAAAAAAAAAEAIAAAACIAAABkcnMvZG93bnJldi54bWxQSwECFAAUAAAACACHTuJAMy8F&#10;njsAAAA5AAAAEAAAAAAAAAABACAAAAAMAQAAZHJzL3NoYXBleG1sLnhtbFBLBQYAAAAABgAGAFsB&#10;AAC2AwAAAAA=&#10;">
                    <v:fill on="f" focussize="0,0"/>
                    <v:stroke color="#000000 [3200]" joinstyle="round" endarrow="block"/>
                    <v:imagedata o:title=""/>
                    <o:lock v:ext="edit" aspectratio="f"/>
                  </v:shape>
                  <v:shape id="_x0000_s1026" o:spid="_x0000_s1026" o:spt="32" type="#_x0000_t32" style="position:absolute;left:5723467;top:3818467;height:0;width:846455;"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_x0000_s1026" o:spid="_x0000_s1026" o:spt="176" type="#_x0000_t176" style="position:absolute;left:6739467;top:3572933;height:533400;width:1667510;v-text-anchor:middle;" fillcolor="#FFFFFF [3212]" filled="t" stroked="t" coordsize="21600,21600" o:gfxdata="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mlrsAAADb&#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No</w:t>
                          </w:r>
                        </w:p>
                      </w:txbxContent>
                    </v:textbox>
                  </v:shape>
                  <v:shape id="_x0000_s1026" o:spid="_x0000_s1026" o:spt="176" type="#_x0000_t176" style="position:absolute;left:0;top:4487333;height:533400;width:1667510;v-text-anchor:middle;" fillcolor="#FFFFFF [3212]" filled="t" stroked="t" coordsize="21600,21600" o:gfxdata="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A+4rsAAADb&#10;AAAADwAAAAAAAAABACAAAAAiAAAAZHJzL2Rvd25yZXYueG1sUEsBAhQAFAAAAAgAh07iQDMvBZ47&#10;AAAAOQAAABAAAAAAAAAAAQAgAAAACgEAAGRycy9zaGFwZXhtbC54bWxQSwUGAAAAAAYABgBbAQAA&#10;tAMAAAAA&#10;">
                    <v:fill on="t" focussize="0,0"/>
                    <v:stroke weight="2pt" color="#000000 [3213]" joinstyle="round"/>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Referral into the MASH</w:t>
                          </w:r>
                        </w:p>
                      </w:txbxContent>
                    </v:textbox>
                  </v:shape>
                  <v:shape id="_x0000_s1026" o:spid="_x0000_s1026" o:spt="32" type="#_x0000_t32" style="position:absolute;left:4182533;top:567267;height:228600;width:0;"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shape>
                  <v:shape id="_x0000_s1026" o:spid="_x0000_s1026" o:spt="32" type="#_x0000_t32" style="position:absolute;left:4174067;top:1481667;height:228600;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3213]" joinstyle="round" endarrow="block"/>
                    <v:imagedata o:title=""/>
                    <o:lock v:ext="edit" aspectratio="f"/>
                  </v:shape>
                  <v:shape id="_x0000_s1026" o:spid="_x0000_s1026" o:spt="32" type="#_x0000_t32" style="position:absolute;left:4174067;top:2454442;height:102491;width:0;"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shape>
                  <v:shape id="_x0000_s1026" o:spid="_x0000_s1026" o:spt="32" type="#_x0000_t32" style="position:absolute;left:4191000;top:3268133;height:228600;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3213]" joinstyle="round" endarrow="block"/>
                    <v:imagedata o:title=""/>
                    <o:lock v:ext="edit" aspectratio="f"/>
                  </v:shape>
                  <v:shape id="_x0000_s1026" o:spid="_x0000_s1026" o:spt="32" type="#_x0000_t32" style="position:absolute;left:7628467;top:4165600;height:228600;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shape>
                  <v:shape id="_x0000_s1026" o:spid="_x0000_s1026" o:spt="32" type="#_x0000_t32" style="position:absolute;left:846667;top:4182533;height:228600;width:0;" filled="f" stroked="t" coordsize="21600,21600" o:gfxdata="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kwv+8AAAA&#10;3A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shape>
                </v:group>
              </v:group>
            </w:pict>
          </mc:Fallback>
        </mc:AlternateContent>
      </w:r>
    </w:p>
    <w:sectPr>
      <w:pgSz w:w="16838" w:h="11906" w:orient="landscape"/>
      <w:pgMar w:top="1418" w:right="720" w:bottom="720" w:left="720" w:header="708"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Times New Roman Regular">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sz w:val="16"/>
        <w:szCs w:val="16"/>
      </w:rPr>
      <w:id w:val="174692664"/>
      <w:docPartObj>
        <w:docPartGallery w:val="AutoText"/>
      </w:docPartObj>
    </w:sdtPr>
    <w:sdtEndPr>
      <w:rPr>
        <w:rFonts w:ascii="Arial" w:hAnsi="Arial" w:cs="Arial"/>
        <w:sz w:val="16"/>
        <w:szCs w:val="16"/>
      </w:rPr>
    </w:sdtEndPr>
    <w:sdtContent>
      <w:p>
        <w:pPr>
          <w:pStyle w:val="24"/>
          <w:rPr>
            <w:rFonts w:ascii="Arial" w:hAnsi="Arial" w:cs="Arial"/>
            <w:sz w:val="16"/>
            <w:szCs w:val="16"/>
          </w:rPr>
        </w:pPr>
      </w:p>
      <w:p>
        <w:pPr>
          <w:pStyle w:val="24"/>
          <w:rPr>
            <w:rFonts w:ascii="Arial" w:hAnsi="Arial" w:cs="Arial"/>
            <w:sz w:val="16"/>
            <w:szCs w:val="16"/>
          </w:rPr>
        </w:pPr>
        <w:r>
          <w:rPr>
            <w:rFonts w:ascii="Arial" w:hAnsi="Arial" w:cs="Arial"/>
            <w:sz w:val="16"/>
            <w:szCs w:val="16"/>
          </w:rPr>
          <w:t>Version control: September 2020</w:t>
        </w:r>
      </w:p>
      <w:p>
        <w:pPr>
          <w:pStyle w:val="2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Page |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43</w:t>
        </w:r>
        <w:r>
          <w:rPr>
            <w:rFonts w:ascii="Arial" w:hAnsi="Arial" w:cs="Arial"/>
            <w:sz w:val="16"/>
            <w:szCs w:val="16"/>
          </w:rPr>
          <w:fldChar w:fldCharType="end"/>
        </w:r>
      </w:p>
    </w:sdtContent>
  </w:sdt>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14C25"/>
    <w:multiLevelType w:val="multilevel"/>
    <w:tmpl w:val="00014C2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0240A2C"/>
    <w:multiLevelType w:val="multilevel"/>
    <w:tmpl w:val="00240A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894216"/>
    <w:multiLevelType w:val="multilevel"/>
    <w:tmpl w:val="0089421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2CF7E49"/>
    <w:multiLevelType w:val="multilevel"/>
    <w:tmpl w:val="02CF7E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05A827F7"/>
    <w:multiLevelType w:val="multilevel"/>
    <w:tmpl w:val="05A827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6396A67"/>
    <w:multiLevelType w:val="multilevel"/>
    <w:tmpl w:val="06396A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07347885"/>
    <w:multiLevelType w:val="multilevel"/>
    <w:tmpl w:val="07347885"/>
    <w:lvl w:ilvl="0" w:tentative="0">
      <w:start w:val="1"/>
      <w:numFmt w:val="bullet"/>
      <w:pStyle w:val="59"/>
      <w:lvlText w:val=""/>
      <w:lvlJc w:val="left"/>
      <w:pPr>
        <w:tabs>
          <w:tab w:val="left" w:pos="927"/>
        </w:tabs>
        <w:ind w:left="927"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07B13528"/>
    <w:multiLevelType w:val="multilevel"/>
    <w:tmpl w:val="07B1352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07F32BF2"/>
    <w:multiLevelType w:val="multilevel"/>
    <w:tmpl w:val="07F32BF2"/>
    <w:lvl w:ilvl="0" w:tentative="0">
      <w:start w:val="1"/>
      <w:numFmt w:val="bullet"/>
      <w:lvlText w:val=""/>
      <w:lvlJc w:val="left"/>
      <w:pPr>
        <w:tabs>
          <w:tab w:val="left" w:pos="1440"/>
        </w:tabs>
        <w:ind w:left="1440" w:hanging="360"/>
      </w:pPr>
      <w:rPr>
        <w:rFonts w:hint="default" w:ascii="Symbol" w:hAnsi="Symbol"/>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9">
    <w:nsid w:val="0BB12C29"/>
    <w:multiLevelType w:val="multilevel"/>
    <w:tmpl w:val="0BB12C29"/>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0">
    <w:nsid w:val="0C636210"/>
    <w:multiLevelType w:val="multilevel"/>
    <w:tmpl w:val="0C63621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E771FCA"/>
    <w:multiLevelType w:val="multilevel"/>
    <w:tmpl w:val="0E771F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29C154A"/>
    <w:multiLevelType w:val="multilevel"/>
    <w:tmpl w:val="129C154A"/>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3">
    <w:nsid w:val="14CC1B4B"/>
    <w:multiLevelType w:val="multilevel"/>
    <w:tmpl w:val="14CC1B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1711119B"/>
    <w:multiLevelType w:val="multilevel"/>
    <w:tmpl w:val="171111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7A12EED"/>
    <w:multiLevelType w:val="multilevel"/>
    <w:tmpl w:val="17A12E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1BF77BC7"/>
    <w:multiLevelType w:val="multilevel"/>
    <w:tmpl w:val="1BF77BC7"/>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7">
    <w:nsid w:val="1CBF081A"/>
    <w:multiLevelType w:val="multilevel"/>
    <w:tmpl w:val="1CBF081A"/>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8">
    <w:nsid w:val="1E764820"/>
    <w:multiLevelType w:val="multilevel"/>
    <w:tmpl w:val="1E7648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25207610"/>
    <w:multiLevelType w:val="multilevel"/>
    <w:tmpl w:val="252076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262D43C1"/>
    <w:multiLevelType w:val="multilevel"/>
    <w:tmpl w:val="262D43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9305337"/>
    <w:multiLevelType w:val="multilevel"/>
    <w:tmpl w:val="29305337"/>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A106F54"/>
    <w:multiLevelType w:val="multilevel"/>
    <w:tmpl w:val="2A106F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F5D4C78"/>
    <w:multiLevelType w:val="multilevel"/>
    <w:tmpl w:val="2F5D4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1105CA8"/>
    <w:multiLevelType w:val="multilevel"/>
    <w:tmpl w:val="31105CA8"/>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
      <w:lvlJc w:val="left"/>
      <w:pPr>
        <w:tabs>
          <w:tab w:val="left" w:pos="1800"/>
        </w:tabs>
        <w:ind w:left="1800" w:hanging="360"/>
      </w:pPr>
      <w:rPr>
        <w:rFonts w:hint="default" w:ascii="Arial" w:hAnsi="Arial" w:eastAsia="Times New Roman" w:cs="Arial"/>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5">
    <w:nsid w:val="31E14C05"/>
    <w:multiLevelType w:val="multilevel"/>
    <w:tmpl w:val="31E14C05"/>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6">
    <w:nsid w:val="33AE5255"/>
    <w:multiLevelType w:val="multilevel"/>
    <w:tmpl w:val="33AE52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33CB294D"/>
    <w:multiLevelType w:val="multilevel"/>
    <w:tmpl w:val="33CB29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6F170F6"/>
    <w:multiLevelType w:val="multilevel"/>
    <w:tmpl w:val="36F170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37212EE5"/>
    <w:multiLevelType w:val="multilevel"/>
    <w:tmpl w:val="37212EE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0">
    <w:nsid w:val="37364FE5"/>
    <w:multiLevelType w:val="multilevel"/>
    <w:tmpl w:val="37364FE5"/>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1">
    <w:nsid w:val="3FB66B6C"/>
    <w:multiLevelType w:val="multilevel"/>
    <w:tmpl w:val="3FB66B6C"/>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2">
    <w:nsid w:val="446B0F18"/>
    <w:multiLevelType w:val="multilevel"/>
    <w:tmpl w:val="446B0F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4E00BDB"/>
    <w:multiLevelType w:val="multilevel"/>
    <w:tmpl w:val="44E00B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4FD43D03"/>
    <w:multiLevelType w:val="multilevel"/>
    <w:tmpl w:val="4FD43D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14C1B08"/>
    <w:multiLevelType w:val="multilevel"/>
    <w:tmpl w:val="514C1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5002570"/>
    <w:multiLevelType w:val="multilevel"/>
    <w:tmpl w:val="55002570"/>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7">
    <w:nsid w:val="5C363B06"/>
    <w:multiLevelType w:val="multilevel"/>
    <w:tmpl w:val="5C363B06"/>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8">
    <w:nsid w:val="5D8C7C13"/>
    <w:multiLevelType w:val="multilevel"/>
    <w:tmpl w:val="5D8C7C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626742BB"/>
    <w:multiLevelType w:val="multilevel"/>
    <w:tmpl w:val="626742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2F17835"/>
    <w:multiLevelType w:val="multilevel"/>
    <w:tmpl w:val="62F1783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63283AD3"/>
    <w:multiLevelType w:val="multilevel"/>
    <w:tmpl w:val="63283AD3"/>
    <w:lvl w:ilvl="0" w:tentative="0">
      <w:start w:val="1"/>
      <w:numFmt w:val="bullet"/>
      <w:lvlText w:val=""/>
      <w:lvlJc w:val="left"/>
      <w:pPr>
        <w:ind w:left="2100" w:hanging="360"/>
      </w:pPr>
      <w:rPr>
        <w:rFonts w:hint="default" w:ascii="Symbol" w:hAnsi="Symbol"/>
        <w:color w:val="auto"/>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42">
    <w:nsid w:val="6696661F"/>
    <w:multiLevelType w:val="multilevel"/>
    <w:tmpl w:val="6696661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3">
    <w:nsid w:val="68985E1F"/>
    <w:multiLevelType w:val="multilevel"/>
    <w:tmpl w:val="68985E1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4">
    <w:nsid w:val="69F106C3"/>
    <w:multiLevelType w:val="multilevel"/>
    <w:tmpl w:val="69F106C3"/>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45">
    <w:nsid w:val="6DAE70CF"/>
    <w:multiLevelType w:val="multilevel"/>
    <w:tmpl w:val="6DAE70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6">
    <w:nsid w:val="76B66552"/>
    <w:multiLevelType w:val="multilevel"/>
    <w:tmpl w:val="76B6655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7">
    <w:nsid w:val="774E3533"/>
    <w:multiLevelType w:val="multilevel"/>
    <w:tmpl w:val="774E35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7B479AF"/>
    <w:multiLevelType w:val="multilevel"/>
    <w:tmpl w:val="77B479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7A683FCC"/>
    <w:multiLevelType w:val="multilevel"/>
    <w:tmpl w:val="7A683FC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0">
    <w:nsid w:val="7C1B66D1"/>
    <w:multiLevelType w:val="multilevel"/>
    <w:tmpl w:val="7C1B66D1"/>
    <w:lvl w:ilvl="0" w:tentative="0">
      <w:start w:val="1"/>
      <w:numFmt w:val="bullet"/>
      <w:lvlText w:val=""/>
      <w:lvlJc w:val="left"/>
      <w:pPr>
        <w:ind w:left="1003" w:hanging="360"/>
      </w:pPr>
      <w:rPr>
        <w:rFonts w:hint="default" w:ascii="Symbol" w:hAnsi="Symbol"/>
      </w:rPr>
    </w:lvl>
    <w:lvl w:ilvl="1" w:tentative="0">
      <w:start w:val="1"/>
      <w:numFmt w:val="bullet"/>
      <w:lvlText w:val="o"/>
      <w:lvlJc w:val="left"/>
      <w:pPr>
        <w:ind w:left="1723" w:hanging="360"/>
      </w:pPr>
      <w:rPr>
        <w:rFonts w:hint="default" w:ascii="Courier New" w:hAnsi="Courier New" w:cs="Courier New"/>
      </w:rPr>
    </w:lvl>
    <w:lvl w:ilvl="2" w:tentative="0">
      <w:start w:val="1"/>
      <w:numFmt w:val="bullet"/>
      <w:lvlText w:val=""/>
      <w:lvlJc w:val="left"/>
      <w:pPr>
        <w:ind w:left="2443" w:hanging="360"/>
      </w:pPr>
      <w:rPr>
        <w:rFonts w:hint="default" w:ascii="Wingdings" w:hAnsi="Wingdings"/>
      </w:rPr>
    </w:lvl>
    <w:lvl w:ilvl="3" w:tentative="0">
      <w:start w:val="1"/>
      <w:numFmt w:val="bullet"/>
      <w:lvlText w:val=""/>
      <w:lvlJc w:val="left"/>
      <w:pPr>
        <w:ind w:left="3163" w:hanging="360"/>
      </w:pPr>
      <w:rPr>
        <w:rFonts w:hint="default" w:ascii="Symbol" w:hAnsi="Symbol"/>
      </w:rPr>
    </w:lvl>
    <w:lvl w:ilvl="4" w:tentative="0">
      <w:start w:val="1"/>
      <w:numFmt w:val="bullet"/>
      <w:lvlText w:val="o"/>
      <w:lvlJc w:val="left"/>
      <w:pPr>
        <w:ind w:left="3883" w:hanging="360"/>
      </w:pPr>
      <w:rPr>
        <w:rFonts w:hint="default" w:ascii="Courier New" w:hAnsi="Courier New" w:cs="Courier New"/>
      </w:rPr>
    </w:lvl>
    <w:lvl w:ilvl="5" w:tentative="0">
      <w:start w:val="1"/>
      <w:numFmt w:val="bullet"/>
      <w:lvlText w:val=""/>
      <w:lvlJc w:val="left"/>
      <w:pPr>
        <w:ind w:left="4603" w:hanging="360"/>
      </w:pPr>
      <w:rPr>
        <w:rFonts w:hint="default" w:ascii="Wingdings" w:hAnsi="Wingdings"/>
      </w:rPr>
    </w:lvl>
    <w:lvl w:ilvl="6" w:tentative="0">
      <w:start w:val="1"/>
      <w:numFmt w:val="bullet"/>
      <w:lvlText w:val=""/>
      <w:lvlJc w:val="left"/>
      <w:pPr>
        <w:ind w:left="5323" w:hanging="360"/>
      </w:pPr>
      <w:rPr>
        <w:rFonts w:hint="default" w:ascii="Symbol" w:hAnsi="Symbol"/>
      </w:rPr>
    </w:lvl>
    <w:lvl w:ilvl="7" w:tentative="0">
      <w:start w:val="1"/>
      <w:numFmt w:val="bullet"/>
      <w:lvlText w:val="o"/>
      <w:lvlJc w:val="left"/>
      <w:pPr>
        <w:ind w:left="6043" w:hanging="360"/>
      </w:pPr>
      <w:rPr>
        <w:rFonts w:hint="default" w:ascii="Courier New" w:hAnsi="Courier New" w:cs="Courier New"/>
      </w:rPr>
    </w:lvl>
    <w:lvl w:ilvl="8" w:tentative="0">
      <w:start w:val="1"/>
      <w:numFmt w:val="bullet"/>
      <w:lvlText w:val=""/>
      <w:lvlJc w:val="left"/>
      <w:pPr>
        <w:ind w:left="6763" w:hanging="360"/>
      </w:pPr>
      <w:rPr>
        <w:rFonts w:hint="default" w:ascii="Wingdings" w:hAnsi="Wingdings"/>
      </w:rPr>
    </w:lvl>
  </w:abstractNum>
  <w:abstractNum w:abstractNumId="51">
    <w:nsid w:val="7CBA518C"/>
    <w:multiLevelType w:val="multilevel"/>
    <w:tmpl w:val="7CBA518C"/>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2">
    <w:nsid w:val="7D0A38F3"/>
    <w:multiLevelType w:val="multilevel"/>
    <w:tmpl w:val="7D0A3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EEA2E65"/>
    <w:multiLevelType w:val="multilevel"/>
    <w:tmpl w:val="7EEA2E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46"/>
  </w:num>
  <w:num w:numId="3">
    <w:abstractNumId w:val="26"/>
  </w:num>
  <w:num w:numId="4">
    <w:abstractNumId w:val="31"/>
  </w:num>
  <w:num w:numId="5">
    <w:abstractNumId w:val="14"/>
  </w:num>
  <w:num w:numId="6">
    <w:abstractNumId w:val="21"/>
  </w:num>
  <w:num w:numId="7">
    <w:abstractNumId w:val="52"/>
  </w:num>
  <w:num w:numId="8">
    <w:abstractNumId w:val="9"/>
  </w:num>
  <w:num w:numId="9">
    <w:abstractNumId w:val="0"/>
  </w:num>
  <w:num w:numId="10">
    <w:abstractNumId w:val="20"/>
  </w:num>
  <w:num w:numId="11">
    <w:abstractNumId w:val="53"/>
  </w:num>
  <w:num w:numId="12">
    <w:abstractNumId w:val="50"/>
  </w:num>
  <w:num w:numId="13">
    <w:abstractNumId w:val="49"/>
  </w:num>
  <w:num w:numId="14">
    <w:abstractNumId w:val="35"/>
  </w:num>
  <w:num w:numId="15">
    <w:abstractNumId w:val="19"/>
  </w:num>
  <w:num w:numId="16">
    <w:abstractNumId w:val="41"/>
  </w:num>
  <w:num w:numId="17">
    <w:abstractNumId w:val="10"/>
  </w:num>
  <w:num w:numId="18">
    <w:abstractNumId w:val="47"/>
  </w:num>
  <w:num w:numId="19">
    <w:abstractNumId w:val="22"/>
  </w:num>
  <w:num w:numId="20">
    <w:abstractNumId w:val="8"/>
  </w:num>
  <w:num w:numId="21">
    <w:abstractNumId w:val="11"/>
  </w:num>
  <w:num w:numId="22">
    <w:abstractNumId w:val="24"/>
  </w:num>
  <w:num w:numId="23">
    <w:abstractNumId w:val="44"/>
  </w:num>
  <w:num w:numId="24">
    <w:abstractNumId w:val="30"/>
  </w:num>
  <w:num w:numId="25">
    <w:abstractNumId w:val="16"/>
  </w:num>
  <w:num w:numId="26">
    <w:abstractNumId w:val="25"/>
  </w:num>
  <w:num w:numId="27">
    <w:abstractNumId w:val="1"/>
  </w:num>
  <w:num w:numId="28">
    <w:abstractNumId w:val="36"/>
  </w:num>
  <w:num w:numId="29">
    <w:abstractNumId w:val="12"/>
  </w:num>
  <w:num w:numId="30">
    <w:abstractNumId w:val="37"/>
  </w:num>
  <w:num w:numId="31">
    <w:abstractNumId w:val="23"/>
  </w:num>
  <w:num w:numId="32">
    <w:abstractNumId w:val="17"/>
  </w:num>
  <w:num w:numId="33">
    <w:abstractNumId w:val="51"/>
  </w:num>
  <w:num w:numId="34">
    <w:abstractNumId w:val="29"/>
  </w:num>
  <w:num w:numId="35">
    <w:abstractNumId w:val="7"/>
  </w:num>
  <w:num w:numId="36">
    <w:abstractNumId w:val="48"/>
  </w:num>
  <w:num w:numId="37">
    <w:abstractNumId w:val="34"/>
  </w:num>
  <w:num w:numId="38">
    <w:abstractNumId w:val="33"/>
  </w:num>
  <w:num w:numId="39">
    <w:abstractNumId w:val="5"/>
  </w:num>
  <w:num w:numId="40">
    <w:abstractNumId w:val="13"/>
  </w:num>
  <w:num w:numId="41">
    <w:abstractNumId w:val="4"/>
  </w:num>
  <w:num w:numId="42">
    <w:abstractNumId w:val="32"/>
  </w:num>
  <w:num w:numId="43">
    <w:abstractNumId w:val="27"/>
  </w:num>
  <w:num w:numId="44">
    <w:abstractNumId w:val="39"/>
  </w:num>
  <w:num w:numId="45">
    <w:abstractNumId w:val="18"/>
  </w:num>
  <w:num w:numId="46">
    <w:abstractNumId w:val="2"/>
  </w:num>
  <w:num w:numId="47">
    <w:abstractNumId w:val="38"/>
  </w:num>
  <w:num w:numId="48">
    <w:abstractNumId w:val="43"/>
  </w:num>
  <w:num w:numId="49">
    <w:abstractNumId w:val="3"/>
  </w:num>
  <w:num w:numId="50">
    <w:abstractNumId w:val="42"/>
  </w:num>
  <w:num w:numId="51">
    <w:abstractNumId w:val="28"/>
  </w:num>
  <w:num w:numId="52">
    <w:abstractNumId w:val="15"/>
  </w:num>
  <w:num w:numId="53">
    <w:abstractNumId w:val="40"/>
  </w:num>
  <w:num w:numId="5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53"/>
    <w:rsid w:val="000004D6"/>
    <w:rsid w:val="00001D29"/>
    <w:rsid w:val="000040A0"/>
    <w:rsid w:val="00006660"/>
    <w:rsid w:val="000100BD"/>
    <w:rsid w:val="00010BBB"/>
    <w:rsid w:val="00015211"/>
    <w:rsid w:val="000156C7"/>
    <w:rsid w:val="00015AAB"/>
    <w:rsid w:val="00015C90"/>
    <w:rsid w:val="00016C87"/>
    <w:rsid w:val="0001740B"/>
    <w:rsid w:val="00017792"/>
    <w:rsid w:val="00021D27"/>
    <w:rsid w:val="00022683"/>
    <w:rsid w:val="000228DB"/>
    <w:rsid w:val="00023748"/>
    <w:rsid w:val="00023F91"/>
    <w:rsid w:val="000243F0"/>
    <w:rsid w:val="0002678D"/>
    <w:rsid w:val="000300EF"/>
    <w:rsid w:val="0003114F"/>
    <w:rsid w:val="0003264C"/>
    <w:rsid w:val="00034096"/>
    <w:rsid w:val="0003782F"/>
    <w:rsid w:val="0004031F"/>
    <w:rsid w:val="000442E5"/>
    <w:rsid w:val="000465C7"/>
    <w:rsid w:val="00046D5C"/>
    <w:rsid w:val="00050AF5"/>
    <w:rsid w:val="00051261"/>
    <w:rsid w:val="0005188E"/>
    <w:rsid w:val="000540C2"/>
    <w:rsid w:val="00055A8A"/>
    <w:rsid w:val="0005632B"/>
    <w:rsid w:val="0005662C"/>
    <w:rsid w:val="000642CA"/>
    <w:rsid w:val="00064C63"/>
    <w:rsid w:val="00067AC8"/>
    <w:rsid w:val="00070180"/>
    <w:rsid w:val="00070B4B"/>
    <w:rsid w:val="00072092"/>
    <w:rsid w:val="00072F52"/>
    <w:rsid w:val="0007318D"/>
    <w:rsid w:val="00073EFE"/>
    <w:rsid w:val="00074161"/>
    <w:rsid w:val="000803CC"/>
    <w:rsid w:val="000820A2"/>
    <w:rsid w:val="00084040"/>
    <w:rsid w:val="00084252"/>
    <w:rsid w:val="00084483"/>
    <w:rsid w:val="00085243"/>
    <w:rsid w:val="000878A9"/>
    <w:rsid w:val="0009761A"/>
    <w:rsid w:val="000A38C1"/>
    <w:rsid w:val="000A4E14"/>
    <w:rsid w:val="000A57C3"/>
    <w:rsid w:val="000A650E"/>
    <w:rsid w:val="000B107A"/>
    <w:rsid w:val="000B31A9"/>
    <w:rsid w:val="000B66BB"/>
    <w:rsid w:val="000B7134"/>
    <w:rsid w:val="000C21B9"/>
    <w:rsid w:val="000D1B64"/>
    <w:rsid w:val="000D30B0"/>
    <w:rsid w:val="000D400E"/>
    <w:rsid w:val="000D4F78"/>
    <w:rsid w:val="000D6451"/>
    <w:rsid w:val="000E16EA"/>
    <w:rsid w:val="000E2E33"/>
    <w:rsid w:val="000E6C4F"/>
    <w:rsid w:val="000F070B"/>
    <w:rsid w:val="000F1DE2"/>
    <w:rsid w:val="000F2B9B"/>
    <w:rsid w:val="000F5BD7"/>
    <w:rsid w:val="000F6256"/>
    <w:rsid w:val="000F6A45"/>
    <w:rsid w:val="00103C12"/>
    <w:rsid w:val="00103CE1"/>
    <w:rsid w:val="00104EA7"/>
    <w:rsid w:val="00107608"/>
    <w:rsid w:val="0011003C"/>
    <w:rsid w:val="001100B7"/>
    <w:rsid w:val="001106FA"/>
    <w:rsid w:val="0011137E"/>
    <w:rsid w:val="00113936"/>
    <w:rsid w:val="001175B3"/>
    <w:rsid w:val="001211C8"/>
    <w:rsid w:val="00121335"/>
    <w:rsid w:val="00121E6D"/>
    <w:rsid w:val="00123196"/>
    <w:rsid w:val="00125681"/>
    <w:rsid w:val="001267AD"/>
    <w:rsid w:val="00126EE2"/>
    <w:rsid w:val="00127883"/>
    <w:rsid w:val="00130C3B"/>
    <w:rsid w:val="0013172A"/>
    <w:rsid w:val="00131E4D"/>
    <w:rsid w:val="00132976"/>
    <w:rsid w:val="001341CC"/>
    <w:rsid w:val="00134351"/>
    <w:rsid w:val="00134E3D"/>
    <w:rsid w:val="00141032"/>
    <w:rsid w:val="00141B56"/>
    <w:rsid w:val="0014306C"/>
    <w:rsid w:val="00160714"/>
    <w:rsid w:val="00161476"/>
    <w:rsid w:val="00162D33"/>
    <w:rsid w:val="0017297C"/>
    <w:rsid w:val="00172CBF"/>
    <w:rsid w:val="001775E7"/>
    <w:rsid w:val="001802A9"/>
    <w:rsid w:val="00182D1D"/>
    <w:rsid w:val="00186542"/>
    <w:rsid w:val="00186A0E"/>
    <w:rsid w:val="00192D13"/>
    <w:rsid w:val="00192E60"/>
    <w:rsid w:val="0019306D"/>
    <w:rsid w:val="00194EBC"/>
    <w:rsid w:val="00195CA3"/>
    <w:rsid w:val="00196767"/>
    <w:rsid w:val="001977FF"/>
    <w:rsid w:val="001A0C95"/>
    <w:rsid w:val="001A2C0F"/>
    <w:rsid w:val="001A4046"/>
    <w:rsid w:val="001A516A"/>
    <w:rsid w:val="001A5A08"/>
    <w:rsid w:val="001A61E1"/>
    <w:rsid w:val="001B2227"/>
    <w:rsid w:val="001B29D7"/>
    <w:rsid w:val="001B462D"/>
    <w:rsid w:val="001B7CBE"/>
    <w:rsid w:val="001C1A56"/>
    <w:rsid w:val="001C1EF3"/>
    <w:rsid w:val="001C2869"/>
    <w:rsid w:val="001C2CC3"/>
    <w:rsid w:val="001C69C1"/>
    <w:rsid w:val="001D0F5F"/>
    <w:rsid w:val="001D1BD1"/>
    <w:rsid w:val="001D3B49"/>
    <w:rsid w:val="001D6CE4"/>
    <w:rsid w:val="001D6D6A"/>
    <w:rsid w:val="001E0803"/>
    <w:rsid w:val="001E0832"/>
    <w:rsid w:val="001E0CCF"/>
    <w:rsid w:val="001E6C9E"/>
    <w:rsid w:val="001E7648"/>
    <w:rsid w:val="001F19F4"/>
    <w:rsid w:val="001F4D78"/>
    <w:rsid w:val="001F69C6"/>
    <w:rsid w:val="002018BE"/>
    <w:rsid w:val="00202C34"/>
    <w:rsid w:val="002048F2"/>
    <w:rsid w:val="00206A0E"/>
    <w:rsid w:val="002109D3"/>
    <w:rsid w:val="00211EA1"/>
    <w:rsid w:val="002137F6"/>
    <w:rsid w:val="00213DC4"/>
    <w:rsid w:val="0021423B"/>
    <w:rsid w:val="00214A49"/>
    <w:rsid w:val="002151EB"/>
    <w:rsid w:val="00216CDA"/>
    <w:rsid w:val="00216DEE"/>
    <w:rsid w:val="00221339"/>
    <w:rsid w:val="002246A8"/>
    <w:rsid w:val="002251FD"/>
    <w:rsid w:val="00227090"/>
    <w:rsid w:val="002274D4"/>
    <w:rsid w:val="00227BC1"/>
    <w:rsid w:val="002321F3"/>
    <w:rsid w:val="002440C6"/>
    <w:rsid w:val="00245052"/>
    <w:rsid w:val="002471E0"/>
    <w:rsid w:val="0024787A"/>
    <w:rsid w:val="00247A42"/>
    <w:rsid w:val="0025033A"/>
    <w:rsid w:val="002539AC"/>
    <w:rsid w:val="00253A38"/>
    <w:rsid w:val="00257A36"/>
    <w:rsid w:val="00257E78"/>
    <w:rsid w:val="00261404"/>
    <w:rsid w:val="002630DD"/>
    <w:rsid w:val="00271AFA"/>
    <w:rsid w:val="00273F07"/>
    <w:rsid w:val="002746EC"/>
    <w:rsid w:val="00276643"/>
    <w:rsid w:val="00277CA9"/>
    <w:rsid w:val="002850D0"/>
    <w:rsid w:val="002915B0"/>
    <w:rsid w:val="00293800"/>
    <w:rsid w:val="00296931"/>
    <w:rsid w:val="00296BFA"/>
    <w:rsid w:val="002A1162"/>
    <w:rsid w:val="002A1264"/>
    <w:rsid w:val="002A2108"/>
    <w:rsid w:val="002A218A"/>
    <w:rsid w:val="002A653B"/>
    <w:rsid w:val="002A68D4"/>
    <w:rsid w:val="002B16CB"/>
    <w:rsid w:val="002B6A04"/>
    <w:rsid w:val="002B6F37"/>
    <w:rsid w:val="002C1170"/>
    <w:rsid w:val="002C1C9E"/>
    <w:rsid w:val="002C2659"/>
    <w:rsid w:val="002C308A"/>
    <w:rsid w:val="002C3963"/>
    <w:rsid w:val="002C3B74"/>
    <w:rsid w:val="002C61D5"/>
    <w:rsid w:val="002C707E"/>
    <w:rsid w:val="002D05B0"/>
    <w:rsid w:val="002D3129"/>
    <w:rsid w:val="002D399D"/>
    <w:rsid w:val="002D490F"/>
    <w:rsid w:val="002D6377"/>
    <w:rsid w:val="002E1076"/>
    <w:rsid w:val="002E569B"/>
    <w:rsid w:val="002E6CFB"/>
    <w:rsid w:val="002E6FBC"/>
    <w:rsid w:val="002F16D5"/>
    <w:rsid w:val="002F5166"/>
    <w:rsid w:val="00302304"/>
    <w:rsid w:val="00302FA7"/>
    <w:rsid w:val="003034E7"/>
    <w:rsid w:val="00303797"/>
    <w:rsid w:val="0031002E"/>
    <w:rsid w:val="00312F56"/>
    <w:rsid w:val="00315854"/>
    <w:rsid w:val="003163FF"/>
    <w:rsid w:val="003179CB"/>
    <w:rsid w:val="00320546"/>
    <w:rsid w:val="00324A7F"/>
    <w:rsid w:val="0032514C"/>
    <w:rsid w:val="003253F5"/>
    <w:rsid w:val="00330A19"/>
    <w:rsid w:val="00330CAD"/>
    <w:rsid w:val="0033112C"/>
    <w:rsid w:val="0033699D"/>
    <w:rsid w:val="0033739B"/>
    <w:rsid w:val="00340D19"/>
    <w:rsid w:val="003458F7"/>
    <w:rsid w:val="00346670"/>
    <w:rsid w:val="00350254"/>
    <w:rsid w:val="0035354B"/>
    <w:rsid w:val="00354A7C"/>
    <w:rsid w:val="00355791"/>
    <w:rsid w:val="00357A5C"/>
    <w:rsid w:val="00361743"/>
    <w:rsid w:val="00362695"/>
    <w:rsid w:val="00362892"/>
    <w:rsid w:val="00364BCC"/>
    <w:rsid w:val="0036578C"/>
    <w:rsid w:val="00366A28"/>
    <w:rsid w:val="00367D94"/>
    <w:rsid w:val="00372146"/>
    <w:rsid w:val="00373868"/>
    <w:rsid w:val="00373FB0"/>
    <w:rsid w:val="003750D9"/>
    <w:rsid w:val="003809B4"/>
    <w:rsid w:val="00381C6F"/>
    <w:rsid w:val="003842B4"/>
    <w:rsid w:val="00384E57"/>
    <w:rsid w:val="00385A7F"/>
    <w:rsid w:val="00386688"/>
    <w:rsid w:val="00387B1A"/>
    <w:rsid w:val="00390FAB"/>
    <w:rsid w:val="0039443C"/>
    <w:rsid w:val="00397D36"/>
    <w:rsid w:val="003A0EFF"/>
    <w:rsid w:val="003A17D9"/>
    <w:rsid w:val="003A1A09"/>
    <w:rsid w:val="003A1B1A"/>
    <w:rsid w:val="003A28FF"/>
    <w:rsid w:val="003A2F70"/>
    <w:rsid w:val="003A3EC3"/>
    <w:rsid w:val="003A756F"/>
    <w:rsid w:val="003A7A11"/>
    <w:rsid w:val="003B107E"/>
    <w:rsid w:val="003B1F83"/>
    <w:rsid w:val="003B2B8E"/>
    <w:rsid w:val="003B3944"/>
    <w:rsid w:val="003B4373"/>
    <w:rsid w:val="003B4440"/>
    <w:rsid w:val="003B495F"/>
    <w:rsid w:val="003C27CD"/>
    <w:rsid w:val="003C3110"/>
    <w:rsid w:val="003C3BEB"/>
    <w:rsid w:val="003C6204"/>
    <w:rsid w:val="003D1A00"/>
    <w:rsid w:val="003D26C3"/>
    <w:rsid w:val="003D3F4A"/>
    <w:rsid w:val="003D41AC"/>
    <w:rsid w:val="003D6591"/>
    <w:rsid w:val="003D68E6"/>
    <w:rsid w:val="003E00B4"/>
    <w:rsid w:val="003E05E8"/>
    <w:rsid w:val="003E681F"/>
    <w:rsid w:val="003E6DC0"/>
    <w:rsid w:val="003F04B1"/>
    <w:rsid w:val="003F106B"/>
    <w:rsid w:val="003F1F59"/>
    <w:rsid w:val="003F4DA2"/>
    <w:rsid w:val="003F6123"/>
    <w:rsid w:val="003F6CBD"/>
    <w:rsid w:val="003F7484"/>
    <w:rsid w:val="003F7485"/>
    <w:rsid w:val="004028E9"/>
    <w:rsid w:val="00402CB1"/>
    <w:rsid w:val="00403586"/>
    <w:rsid w:val="004111B3"/>
    <w:rsid w:val="00415B8B"/>
    <w:rsid w:val="004211B4"/>
    <w:rsid w:val="00421A73"/>
    <w:rsid w:val="00422E4B"/>
    <w:rsid w:val="00425005"/>
    <w:rsid w:val="00425AD4"/>
    <w:rsid w:val="004276DD"/>
    <w:rsid w:val="00432CC6"/>
    <w:rsid w:val="0043404B"/>
    <w:rsid w:val="00436289"/>
    <w:rsid w:val="004371CD"/>
    <w:rsid w:val="00440053"/>
    <w:rsid w:val="00442945"/>
    <w:rsid w:val="00444D25"/>
    <w:rsid w:val="00445111"/>
    <w:rsid w:val="004507FB"/>
    <w:rsid w:val="0045107D"/>
    <w:rsid w:val="00451149"/>
    <w:rsid w:val="00451D63"/>
    <w:rsid w:val="00453825"/>
    <w:rsid w:val="0045396C"/>
    <w:rsid w:val="0045438B"/>
    <w:rsid w:val="00457324"/>
    <w:rsid w:val="004574CD"/>
    <w:rsid w:val="00460DDE"/>
    <w:rsid w:val="0046515E"/>
    <w:rsid w:val="004657B7"/>
    <w:rsid w:val="00471A66"/>
    <w:rsid w:val="00475018"/>
    <w:rsid w:val="00475605"/>
    <w:rsid w:val="00477D58"/>
    <w:rsid w:val="00477F31"/>
    <w:rsid w:val="00480CCE"/>
    <w:rsid w:val="00481312"/>
    <w:rsid w:val="004826D2"/>
    <w:rsid w:val="00482E48"/>
    <w:rsid w:val="00483F82"/>
    <w:rsid w:val="00486272"/>
    <w:rsid w:val="00490D03"/>
    <w:rsid w:val="00490EF9"/>
    <w:rsid w:val="004914EF"/>
    <w:rsid w:val="004957F5"/>
    <w:rsid w:val="00495C5A"/>
    <w:rsid w:val="0049779A"/>
    <w:rsid w:val="004A09AE"/>
    <w:rsid w:val="004A2200"/>
    <w:rsid w:val="004A2A7A"/>
    <w:rsid w:val="004B02B9"/>
    <w:rsid w:val="004B0AFC"/>
    <w:rsid w:val="004B1607"/>
    <w:rsid w:val="004B3A7A"/>
    <w:rsid w:val="004B4FA6"/>
    <w:rsid w:val="004B71A8"/>
    <w:rsid w:val="004B72A4"/>
    <w:rsid w:val="004B7A57"/>
    <w:rsid w:val="004C2891"/>
    <w:rsid w:val="004C3BCF"/>
    <w:rsid w:val="004C417D"/>
    <w:rsid w:val="004D1271"/>
    <w:rsid w:val="004D4E01"/>
    <w:rsid w:val="004D68EB"/>
    <w:rsid w:val="004D6DD5"/>
    <w:rsid w:val="004E10D1"/>
    <w:rsid w:val="004E4529"/>
    <w:rsid w:val="004E6950"/>
    <w:rsid w:val="004E754F"/>
    <w:rsid w:val="004F5252"/>
    <w:rsid w:val="004F78B9"/>
    <w:rsid w:val="00507829"/>
    <w:rsid w:val="00510562"/>
    <w:rsid w:val="00510E5B"/>
    <w:rsid w:val="00512123"/>
    <w:rsid w:val="00512EF6"/>
    <w:rsid w:val="005137E0"/>
    <w:rsid w:val="00514CFC"/>
    <w:rsid w:val="00515E0C"/>
    <w:rsid w:val="00520FB3"/>
    <w:rsid w:val="00521610"/>
    <w:rsid w:val="0052180C"/>
    <w:rsid w:val="00525077"/>
    <w:rsid w:val="00526F11"/>
    <w:rsid w:val="005306AF"/>
    <w:rsid w:val="0053083B"/>
    <w:rsid w:val="00531A25"/>
    <w:rsid w:val="00531E74"/>
    <w:rsid w:val="0053287D"/>
    <w:rsid w:val="00532A02"/>
    <w:rsid w:val="0054003D"/>
    <w:rsid w:val="0054162F"/>
    <w:rsid w:val="0054251F"/>
    <w:rsid w:val="00542A3F"/>
    <w:rsid w:val="00544ED6"/>
    <w:rsid w:val="00545211"/>
    <w:rsid w:val="00545994"/>
    <w:rsid w:val="00547E66"/>
    <w:rsid w:val="005543CD"/>
    <w:rsid w:val="005570BA"/>
    <w:rsid w:val="00560CBE"/>
    <w:rsid w:val="00560D87"/>
    <w:rsid w:val="00560DA4"/>
    <w:rsid w:val="00565AD9"/>
    <w:rsid w:val="00565DFA"/>
    <w:rsid w:val="005723DA"/>
    <w:rsid w:val="00572881"/>
    <w:rsid w:val="00572B96"/>
    <w:rsid w:val="00576547"/>
    <w:rsid w:val="00576C6A"/>
    <w:rsid w:val="00577538"/>
    <w:rsid w:val="00577D9D"/>
    <w:rsid w:val="00583134"/>
    <w:rsid w:val="00583B1F"/>
    <w:rsid w:val="005907BC"/>
    <w:rsid w:val="0059121F"/>
    <w:rsid w:val="00591BD1"/>
    <w:rsid w:val="00592E6A"/>
    <w:rsid w:val="00593AA4"/>
    <w:rsid w:val="005A02AC"/>
    <w:rsid w:val="005A0814"/>
    <w:rsid w:val="005A0927"/>
    <w:rsid w:val="005A17DD"/>
    <w:rsid w:val="005A2791"/>
    <w:rsid w:val="005A54F3"/>
    <w:rsid w:val="005A5505"/>
    <w:rsid w:val="005A7988"/>
    <w:rsid w:val="005B07D0"/>
    <w:rsid w:val="005B3C6A"/>
    <w:rsid w:val="005B4CAA"/>
    <w:rsid w:val="005B54FC"/>
    <w:rsid w:val="005B6A38"/>
    <w:rsid w:val="005C4A14"/>
    <w:rsid w:val="005C7880"/>
    <w:rsid w:val="005D37EF"/>
    <w:rsid w:val="005D5903"/>
    <w:rsid w:val="005E2A4D"/>
    <w:rsid w:val="005E752B"/>
    <w:rsid w:val="005E7DB5"/>
    <w:rsid w:val="005F6C1F"/>
    <w:rsid w:val="00600FF3"/>
    <w:rsid w:val="006024D0"/>
    <w:rsid w:val="006043AA"/>
    <w:rsid w:val="0060685D"/>
    <w:rsid w:val="00607148"/>
    <w:rsid w:val="00607941"/>
    <w:rsid w:val="006118A9"/>
    <w:rsid w:val="006146DE"/>
    <w:rsid w:val="006158D7"/>
    <w:rsid w:val="00616601"/>
    <w:rsid w:val="00617E12"/>
    <w:rsid w:val="00620362"/>
    <w:rsid w:val="006204F2"/>
    <w:rsid w:val="0062095B"/>
    <w:rsid w:val="006210CA"/>
    <w:rsid w:val="006229B9"/>
    <w:rsid w:val="0062343C"/>
    <w:rsid w:val="00627C99"/>
    <w:rsid w:val="00630D02"/>
    <w:rsid w:val="006314DB"/>
    <w:rsid w:val="00633F36"/>
    <w:rsid w:val="00634596"/>
    <w:rsid w:val="00634C0D"/>
    <w:rsid w:val="006356F3"/>
    <w:rsid w:val="00635F61"/>
    <w:rsid w:val="006373D3"/>
    <w:rsid w:val="00641EDA"/>
    <w:rsid w:val="006424B8"/>
    <w:rsid w:val="006427C8"/>
    <w:rsid w:val="006445CB"/>
    <w:rsid w:val="006451B0"/>
    <w:rsid w:val="00645C41"/>
    <w:rsid w:val="006463B0"/>
    <w:rsid w:val="006512F3"/>
    <w:rsid w:val="00651673"/>
    <w:rsid w:val="00653855"/>
    <w:rsid w:val="00654D22"/>
    <w:rsid w:val="00660F83"/>
    <w:rsid w:val="00662AB4"/>
    <w:rsid w:val="006632C3"/>
    <w:rsid w:val="006646B3"/>
    <w:rsid w:val="00666D4A"/>
    <w:rsid w:val="00666FCC"/>
    <w:rsid w:val="00670547"/>
    <w:rsid w:val="006725BC"/>
    <w:rsid w:val="00674B81"/>
    <w:rsid w:val="0068569F"/>
    <w:rsid w:val="00685DD1"/>
    <w:rsid w:val="00690C50"/>
    <w:rsid w:val="00692B59"/>
    <w:rsid w:val="00696710"/>
    <w:rsid w:val="006A01E7"/>
    <w:rsid w:val="006A44F6"/>
    <w:rsid w:val="006A6B06"/>
    <w:rsid w:val="006B0CD2"/>
    <w:rsid w:val="006B194A"/>
    <w:rsid w:val="006B547C"/>
    <w:rsid w:val="006B7BC7"/>
    <w:rsid w:val="006C0CB9"/>
    <w:rsid w:val="006C2099"/>
    <w:rsid w:val="006C20E6"/>
    <w:rsid w:val="006C6287"/>
    <w:rsid w:val="006C7929"/>
    <w:rsid w:val="006D3AD6"/>
    <w:rsid w:val="006D4D07"/>
    <w:rsid w:val="006D6619"/>
    <w:rsid w:val="006E1173"/>
    <w:rsid w:val="006E190B"/>
    <w:rsid w:val="006E2AD9"/>
    <w:rsid w:val="006E443B"/>
    <w:rsid w:val="006E4D9B"/>
    <w:rsid w:val="006E570F"/>
    <w:rsid w:val="006E6B6B"/>
    <w:rsid w:val="006F129A"/>
    <w:rsid w:val="006F15BD"/>
    <w:rsid w:val="006F1A91"/>
    <w:rsid w:val="006F48BF"/>
    <w:rsid w:val="006F4EDC"/>
    <w:rsid w:val="006F5247"/>
    <w:rsid w:val="006F5960"/>
    <w:rsid w:val="006F6F03"/>
    <w:rsid w:val="00703025"/>
    <w:rsid w:val="00707AF9"/>
    <w:rsid w:val="00711373"/>
    <w:rsid w:val="007120BA"/>
    <w:rsid w:val="00712142"/>
    <w:rsid w:val="00712D99"/>
    <w:rsid w:val="007144A6"/>
    <w:rsid w:val="0071658C"/>
    <w:rsid w:val="00720709"/>
    <w:rsid w:val="00724E79"/>
    <w:rsid w:val="0072547F"/>
    <w:rsid w:val="00725831"/>
    <w:rsid w:val="00725B45"/>
    <w:rsid w:val="007312E9"/>
    <w:rsid w:val="00732700"/>
    <w:rsid w:val="00734D49"/>
    <w:rsid w:val="00734DA6"/>
    <w:rsid w:val="00735B8B"/>
    <w:rsid w:val="007404DF"/>
    <w:rsid w:val="00742FD6"/>
    <w:rsid w:val="007446E8"/>
    <w:rsid w:val="00751B2B"/>
    <w:rsid w:val="00753A2E"/>
    <w:rsid w:val="00754F74"/>
    <w:rsid w:val="00756069"/>
    <w:rsid w:val="007565D2"/>
    <w:rsid w:val="00757FF0"/>
    <w:rsid w:val="00760BD2"/>
    <w:rsid w:val="00764C41"/>
    <w:rsid w:val="00765C9F"/>
    <w:rsid w:val="00766A3F"/>
    <w:rsid w:val="00767983"/>
    <w:rsid w:val="0077033E"/>
    <w:rsid w:val="00780B9F"/>
    <w:rsid w:val="00782564"/>
    <w:rsid w:val="007828A9"/>
    <w:rsid w:val="00785ABD"/>
    <w:rsid w:val="00786F08"/>
    <w:rsid w:val="00791BD6"/>
    <w:rsid w:val="007951B7"/>
    <w:rsid w:val="0079647C"/>
    <w:rsid w:val="007973F5"/>
    <w:rsid w:val="007A210C"/>
    <w:rsid w:val="007A42FC"/>
    <w:rsid w:val="007A47B2"/>
    <w:rsid w:val="007A48FB"/>
    <w:rsid w:val="007A59E0"/>
    <w:rsid w:val="007A79C9"/>
    <w:rsid w:val="007A7F7B"/>
    <w:rsid w:val="007B09CC"/>
    <w:rsid w:val="007B108A"/>
    <w:rsid w:val="007B20E2"/>
    <w:rsid w:val="007B2CBA"/>
    <w:rsid w:val="007B3969"/>
    <w:rsid w:val="007B406B"/>
    <w:rsid w:val="007B4355"/>
    <w:rsid w:val="007B7387"/>
    <w:rsid w:val="007B742B"/>
    <w:rsid w:val="007C0A74"/>
    <w:rsid w:val="007C11AD"/>
    <w:rsid w:val="007C1B61"/>
    <w:rsid w:val="007C20A0"/>
    <w:rsid w:val="007C5285"/>
    <w:rsid w:val="007C6DE6"/>
    <w:rsid w:val="007C7232"/>
    <w:rsid w:val="007E22EE"/>
    <w:rsid w:val="007E358F"/>
    <w:rsid w:val="007E4136"/>
    <w:rsid w:val="007E5062"/>
    <w:rsid w:val="007E6C4B"/>
    <w:rsid w:val="007F050C"/>
    <w:rsid w:val="007F1387"/>
    <w:rsid w:val="007F17B9"/>
    <w:rsid w:val="007F4936"/>
    <w:rsid w:val="008044E1"/>
    <w:rsid w:val="00806EA6"/>
    <w:rsid w:val="008115F6"/>
    <w:rsid w:val="00813506"/>
    <w:rsid w:val="00814CE2"/>
    <w:rsid w:val="00814E17"/>
    <w:rsid w:val="00814F7B"/>
    <w:rsid w:val="00814F7C"/>
    <w:rsid w:val="00817642"/>
    <w:rsid w:val="00820A66"/>
    <w:rsid w:val="00822B46"/>
    <w:rsid w:val="00823E3A"/>
    <w:rsid w:val="00826A60"/>
    <w:rsid w:val="008443A0"/>
    <w:rsid w:val="00844CDF"/>
    <w:rsid w:val="00844F91"/>
    <w:rsid w:val="00845970"/>
    <w:rsid w:val="008468E1"/>
    <w:rsid w:val="00847841"/>
    <w:rsid w:val="0085105E"/>
    <w:rsid w:val="00853259"/>
    <w:rsid w:val="00856516"/>
    <w:rsid w:val="0086212D"/>
    <w:rsid w:val="008638A7"/>
    <w:rsid w:val="00863FB4"/>
    <w:rsid w:val="00864A52"/>
    <w:rsid w:val="00866F5C"/>
    <w:rsid w:val="00867CF0"/>
    <w:rsid w:val="0087061F"/>
    <w:rsid w:val="00871751"/>
    <w:rsid w:val="0087187D"/>
    <w:rsid w:val="0087297D"/>
    <w:rsid w:val="00873D5B"/>
    <w:rsid w:val="00874703"/>
    <w:rsid w:val="00875DBB"/>
    <w:rsid w:val="0087642A"/>
    <w:rsid w:val="00877882"/>
    <w:rsid w:val="008802B0"/>
    <w:rsid w:val="008811C6"/>
    <w:rsid w:val="00883612"/>
    <w:rsid w:val="0088428B"/>
    <w:rsid w:val="00890318"/>
    <w:rsid w:val="00891EDB"/>
    <w:rsid w:val="00894AF4"/>
    <w:rsid w:val="008A3505"/>
    <w:rsid w:val="008A3D9F"/>
    <w:rsid w:val="008A57FB"/>
    <w:rsid w:val="008A6BED"/>
    <w:rsid w:val="008A7F57"/>
    <w:rsid w:val="008B0D1A"/>
    <w:rsid w:val="008B7967"/>
    <w:rsid w:val="008B7CF4"/>
    <w:rsid w:val="008C027C"/>
    <w:rsid w:val="008C115F"/>
    <w:rsid w:val="008C16A8"/>
    <w:rsid w:val="008C2FF6"/>
    <w:rsid w:val="008C31D3"/>
    <w:rsid w:val="008C70F4"/>
    <w:rsid w:val="008C77A0"/>
    <w:rsid w:val="008C7A23"/>
    <w:rsid w:val="008D1A44"/>
    <w:rsid w:val="008D278D"/>
    <w:rsid w:val="008D43C7"/>
    <w:rsid w:val="008D498D"/>
    <w:rsid w:val="008D544C"/>
    <w:rsid w:val="008D5562"/>
    <w:rsid w:val="008D58EF"/>
    <w:rsid w:val="008D7A9D"/>
    <w:rsid w:val="008E458E"/>
    <w:rsid w:val="008F0579"/>
    <w:rsid w:val="008F0ED9"/>
    <w:rsid w:val="008F1D8B"/>
    <w:rsid w:val="008F2ADC"/>
    <w:rsid w:val="008F2D0F"/>
    <w:rsid w:val="008F2E7E"/>
    <w:rsid w:val="00901AF1"/>
    <w:rsid w:val="00903A5D"/>
    <w:rsid w:val="00903D09"/>
    <w:rsid w:val="00906219"/>
    <w:rsid w:val="0091051B"/>
    <w:rsid w:val="0091299C"/>
    <w:rsid w:val="00912AB9"/>
    <w:rsid w:val="009134BE"/>
    <w:rsid w:val="00917973"/>
    <w:rsid w:val="0092104A"/>
    <w:rsid w:val="00923294"/>
    <w:rsid w:val="009243CC"/>
    <w:rsid w:val="00926AD5"/>
    <w:rsid w:val="00927A79"/>
    <w:rsid w:val="00932AD9"/>
    <w:rsid w:val="00934D24"/>
    <w:rsid w:val="00936222"/>
    <w:rsid w:val="009434A1"/>
    <w:rsid w:val="00943C86"/>
    <w:rsid w:val="009444D3"/>
    <w:rsid w:val="00947562"/>
    <w:rsid w:val="00954480"/>
    <w:rsid w:val="00955D04"/>
    <w:rsid w:val="00957AA9"/>
    <w:rsid w:val="009617D0"/>
    <w:rsid w:val="0096250D"/>
    <w:rsid w:val="00962C32"/>
    <w:rsid w:val="00963EF2"/>
    <w:rsid w:val="00967933"/>
    <w:rsid w:val="0097025C"/>
    <w:rsid w:val="00972250"/>
    <w:rsid w:val="009726C2"/>
    <w:rsid w:val="00972C4F"/>
    <w:rsid w:val="00974BCA"/>
    <w:rsid w:val="0097607C"/>
    <w:rsid w:val="00976E7D"/>
    <w:rsid w:val="0098127B"/>
    <w:rsid w:val="00981AD0"/>
    <w:rsid w:val="009858C1"/>
    <w:rsid w:val="00985C9B"/>
    <w:rsid w:val="00986538"/>
    <w:rsid w:val="009903A3"/>
    <w:rsid w:val="00992109"/>
    <w:rsid w:val="00993975"/>
    <w:rsid w:val="00995D29"/>
    <w:rsid w:val="00996AF0"/>
    <w:rsid w:val="0099784C"/>
    <w:rsid w:val="009A7958"/>
    <w:rsid w:val="009B4D1D"/>
    <w:rsid w:val="009B62A1"/>
    <w:rsid w:val="009B79A2"/>
    <w:rsid w:val="009C2B9B"/>
    <w:rsid w:val="009C3983"/>
    <w:rsid w:val="009C4FBA"/>
    <w:rsid w:val="009C5A80"/>
    <w:rsid w:val="009C6354"/>
    <w:rsid w:val="009C6AD2"/>
    <w:rsid w:val="009C71DA"/>
    <w:rsid w:val="009D092A"/>
    <w:rsid w:val="009D3047"/>
    <w:rsid w:val="009D41D7"/>
    <w:rsid w:val="009D7CD4"/>
    <w:rsid w:val="009E0E17"/>
    <w:rsid w:val="009E1196"/>
    <w:rsid w:val="009E1D99"/>
    <w:rsid w:val="009E2B59"/>
    <w:rsid w:val="009E34F1"/>
    <w:rsid w:val="009E6188"/>
    <w:rsid w:val="009E787F"/>
    <w:rsid w:val="009E7C7E"/>
    <w:rsid w:val="009F1F77"/>
    <w:rsid w:val="009F2E00"/>
    <w:rsid w:val="009F2E13"/>
    <w:rsid w:val="009F3CEC"/>
    <w:rsid w:val="009F5EFC"/>
    <w:rsid w:val="009F6364"/>
    <w:rsid w:val="009F727A"/>
    <w:rsid w:val="009F73D0"/>
    <w:rsid w:val="00A000AE"/>
    <w:rsid w:val="00A009A4"/>
    <w:rsid w:val="00A00DA0"/>
    <w:rsid w:val="00A0170D"/>
    <w:rsid w:val="00A02813"/>
    <w:rsid w:val="00A02FD3"/>
    <w:rsid w:val="00A03351"/>
    <w:rsid w:val="00A03F77"/>
    <w:rsid w:val="00A0512C"/>
    <w:rsid w:val="00A05EB1"/>
    <w:rsid w:val="00A07128"/>
    <w:rsid w:val="00A108F7"/>
    <w:rsid w:val="00A13FFB"/>
    <w:rsid w:val="00A14EF9"/>
    <w:rsid w:val="00A159FA"/>
    <w:rsid w:val="00A16332"/>
    <w:rsid w:val="00A2347A"/>
    <w:rsid w:val="00A239EF"/>
    <w:rsid w:val="00A245D5"/>
    <w:rsid w:val="00A32967"/>
    <w:rsid w:val="00A34180"/>
    <w:rsid w:val="00A352DB"/>
    <w:rsid w:val="00A375A6"/>
    <w:rsid w:val="00A37822"/>
    <w:rsid w:val="00A37BD1"/>
    <w:rsid w:val="00A44002"/>
    <w:rsid w:val="00A44C08"/>
    <w:rsid w:val="00A45772"/>
    <w:rsid w:val="00A464EF"/>
    <w:rsid w:val="00A52EB7"/>
    <w:rsid w:val="00A52EB8"/>
    <w:rsid w:val="00A5429B"/>
    <w:rsid w:val="00A5458D"/>
    <w:rsid w:val="00A55997"/>
    <w:rsid w:val="00A56F0F"/>
    <w:rsid w:val="00A575AE"/>
    <w:rsid w:val="00A600EB"/>
    <w:rsid w:val="00A6697B"/>
    <w:rsid w:val="00A6711C"/>
    <w:rsid w:val="00A67F4D"/>
    <w:rsid w:val="00A67FC4"/>
    <w:rsid w:val="00A727C7"/>
    <w:rsid w:val="00A81D92"/>
    <w:rsid w:val="00A86C51"/>
    <w:rsid w:val="00A90B78"/>
    <w:rsid w:val="00A91A2F"/>
    <w:rsid w:val="00A91AC1"/>
    <w:rsid w:val="00A93B15"/>
    <w:rsid w:val="00A945EF"/>
    <w:rsid w:val="00A94FC5"/>
    <w:rsid w:val="00AA07BD"/>
    <w:rsid w:val="00AA3208"/>
    <w:rsid w:val="00AA3310"/>
    <w:rsid w:val="00AA45EE"/>
    <w:rsid w:val="00AA78F3"/>
    <w:rsid w:val="00AB35B8"/>
    <w:rsid w:val="00AB48A7"/>
    <w:rsid w:val="00AB53D5"/>
    <w:rsid w:val="00AC02D9"/>
    <w:rsid w:val="00AC2F1A"/>
    <w:rsid w:val="00AC410C"/>
    <w:rsid w:val="00AC58EF"/>
    <w:rsid w:val="00AD0470"/>
    <w:rsid w:val="00AD266D"/>
    <w:rsid w:val="00AD5DB0"/>
    <w:rsid w:val="00AE6005"/>
    <w:rsid w:val="00AF1016"/>
    <w:rsid w:val="00AF289D"/>
    <w:rsid w:val="00AF2DFD"/>
    <w:rsid w:val="00AF3518"/>
    <w:rsid w:val="00AF4ED4"/>
    <w:rsid w:val="00AF591A"/>
    <w:rsid w:val="00AF7166"/>
    <w:rsid w:val="00AF7404"/>
    <w:rsid w:val="00AF7AC9"/>
    <w:rsid w:val="00B002E5"/>
    <w:rsid w:val="00B016B9"/>
    <w:rsid w:val="00B040B1"/>
    <w:rsid w:val="00B10095"/>
    <w:rsid w:val="00B128ED"/>
    <w:rsid w:val="00B12BF9"/>
    <w:rsid w:val="00B14AA5"/>
    <w:rsid w:val="00B14DAC"/>
    <w:rsid w:val="00B17574"/>
    <w:rsid w:val="00B17F2F"/>
    <w:rsid w:val="00B27658"/>
    <w:rsid w:val="00B31B93"/>
    <w:rsid w:val="00B31CEB"/>
    <w:rsid w:val="00B3300F"/>
    <w:rsid w:val="00B43DEB"/>
    <w:rsid w:val="00B44FD0"/>
    <w:rsid w:val="00B534FE"/>
    <w:rsid w:val="00B56258"/>
    <w:rsid w:val="00B56D6D"/>
    <w:rsid w:val="00B5778B"/>
    <w:rsid w:val="00B60CA3"/>
    <w:rsid w:val="00B62C9F"/>
    <w:rsid w:val="00B64B1D"/>
    <w:rsid w:val="00B70D90"/>
    <w:rsid w:val="00B72F11"/>
    <w:rsid w:val="00B731B6"/>
    <w:rsid w:val="00B74983"/>
    <w:rsid w:val="00B774CF"/>
    <w:rsid w:val="00B82328"/>
    <w:rsid w:val="00B86390"/>
    <w:rsid w:val="00B879EE"/>
    <w:rsid w:val="00B906F3"/>
    <w:rsid w:val="00B949DE"/>
    <w:rsid w:val="00B94DE3"/>
    <w:rsid w:val="00B95BFC"/>
    <w:rsid w:val="00B95E2F"/>
    <w:rsid w:val="00B96B4F"/>
    <w:rsid w:val="00BA4EA7"/>
    <w:rsid w:val="00BA4EAE"/>
    <w:rsid w:val="00BB1F83"/>
    <w:rsid w:val="00BB2C34"/>
    <w:rsid w:val="00BC07EF"/>
    <w:rsid w:val="00BC0C0E"/>
    <w:rsid w:val="00BC7336"/>
    <w:rsid w:val="00BD4B89"/>
    <w:rsid w:val="00BD7BB5"/>
    <w:rsid w:val="00BD7DA5"/>
    <w:rsid w:val="00BE54CA"/>
    <w:rsid w:val="00BE6A3D"/>
    <w:rsid w:val="00BF2F90"/>
    <w:rsid w:val="00BF5022"/>
    <w:rsid w:val="00C019A9"/>
    <w:rsid w:val="00C0270D"/>
    <w:rsid w:val="00C0360A"/>
    <w:rsid w:val="00C037BF"/>
    <w:rsid w:val="00C0418A"/>
    <w:rsid w:val="00C055EE"/>
    <w:rsid w:val="00C05A9B"/>
    <w:rsid w:val="00C07E7F"/>
    <w:rsid w:val="00C10782"/>
    <w:rsid w:val="00C11349"/>
    <w:rsid w:val="00C12795"/>
    <w:rsid w:val="00C1281A"/>
    <w:rsid w:val="00C16245"/>
    <w:rsid w:val="00C163AA"/>
    <w:rsid w:val="00C16B9B"/>
    <w:rsid w:val="00C20C6C"/>
    <w:rsid w:val="00C21AFE"/>
    <w:rsid w:val="00C22E46"/>
    <w:rsid w:val="00C230E9"/>
    <w:rsid w:val="00C268BA"/>
    <w:rsid w:val="00C26B08"/>
    <w:rsid w:val="00C30C28"/>
    <w:rsid w:val="00C32B27"/>
    <w:rsid w:val="00C35BF4"/>
    <w:rsid w:val="00C42C0D"/>
    <w:rsid w:val="00C44B66"/>
    <w:rsid w:val="00C45C54"/>
    <w:rsid w:val="00C467E4"/>
    <w:rsid w:val="00C506F6"/>
    <w:rsid w:val="00C5071B"/>
    <w:rsid w:val="00C52141"/>
    <w:rsid w:val="00C557FF"/>
    <w:rsid w:val="00C6011B"/>
    <w:rsid w:val="00C63014"/>
    <w:rsid w:val="00C63B79"/>
    <w:rsid w:val="00C6596C"/>
    <w:rsid w:val="00C73A72"/>
    <w:rsid w:val="00C8139D"/>
    <w:rsid w:val="00C81A70"/>
    <w:rsid w:val="00C84148"/>
    <w:rsid w:val="00C844E3"/>
    <w:rsid w:val="00C84606"/>
    <w:rsid w:val="00C85612"/>
    <w:rsid w:val="00C90D25"/>
    <w:rsid w:val="00C90FDF"/>
    <w:rsid w:val="00C92FD2"/>
    <w:rsid w:val="00C93288"/>
    <w:rsid w:val="00C96302"/>
    <w:rsid w:val="00CA0B38"/>
    <w:rsid w:val="00CA28A9"/>
    <w:rsid w:val="00CA3238"/>
    <w:rsid w:val="00CA373F"/>
    <w:rsid w:val="00CA5717"/>
    <w:rsid w:val="00CA7F28"/>
    <w:rsid w:val="00CB0EF4"/>
    <w:rsid w:val="00CB2761"/>
    <w:rsid w:val="00CB2E1E"/>
    <w:rsid w:val="00CB7C82"/>
    <w:rsid w:val="00CC5855"/>
    <w:rsid w:val="00CC5FE3"/>
    <w:rsid w:val="00CC643E"/>
    <w:rsid w:val="00CD0403"/>
    <w:rsid w:val="00CD0E54"/>
    <w:rsid w:val="00CD1F3A"/>
    <w:rsid w:val="00CD2331"/>
    <w:rsid w:val="00CD36B8"/>
    <w:rsid w:val="00CD38B3"/>
    <w:rsid w:val="00CE6150"/>
    <w:rsid w:val="00CE7CA3"/>
    <w:rsid w:val="00CF2C5F"/>
    <w:rsid w:val="00CF4C15"/>
    <w:rsid w:val="00CF4CBD"/>
    <w:rsid w:val="00CF6683"/>
    <w:rsid w:val="00CF6D4C"/>
    <w:rsid w:val="00D00AE7"/>
    <w:rsid w:val="00D0270D"/>
    <w:rsid w:val="00D05BC4"/>
    <w:rsid w:val="00D07518"/>
    <w:rsid w:val="00D12FAC"/>
    <w:rsid w:val="00D13773"/>
    <w:rsid w:val="00D14604"/>
    <w:rsid w:val="00D166DE"/>
    <w:rsid w:val="00D17EA3"/>
    <w:rsid w:val="00D22890"/>
    <w:rsid w:val="00D2350F"/>
    <w:rsid w:val="00D23A8E"/>
    <w:rsid w:val="00D246DA"/>
    <w:rsid w:val="00D251A2"/>
    <w:rsid w:val="00D267BC"/>
    <w:rsid w:val="00D322A6"/>
    <w:rsid w:val="00D40B62"/>
    <w:rsid w:val="00D438A0"/>
    <w:rsid w:val="00D45E7B"/>
    <w:rsid w:val="00D473C3"/>
    <w:rsid w:val="00D5011C"/>
    <w:rsid w:val="00D50923"/>
    <w:rsid w:val="00D51CAD"/>
    <w:rsid w:val="00D52F92"/>
    <w:rsid w:val="00D53AC0"/>
    <w:rsid w:val="00D568B2"/>
    <w:rsid w:val="00D57E5E"/>
    <w:rsid w:val="00D608F6"/>
    <w:rsid w:val="00D619D0"/>
    <w:rsid w:val="00D61D12"/>
    <w:rsid w:val="00D644CD"/>
    <w:rsid w:val="00D64EAD"/>
    <w:rsid w:val="00D66DB8"/>
    <w:rsid w:val="00D67555"/>
    <w:rsid w:val="00D71CFC"/>
    <w:rsid w:val="00D72072"/>
    <w:rsid w:val="00D7439E"/>
    <w:rsid w:val="00D746FF"/>
    <w:rsid w:val="00D77182"/>
    <w:rsid w:val="00D77FD1"/>
    <w:rsid w:val="00D81253"/>
    <w:rsid w:val="00D83192"/>
    <w:rsid w:val="00D84E9D"/>
    <w:rsid w:val="00D86F9F"/>
    <w:rsid w:val="00D92FB3"/>
    <w:rsid w:val="00DA077A"/>
    <w:rsid w:val="00DA1092"/>
    <w:rsid w:val="00DA22CD"/>
    <w:rsid w:val="00DA2347"/>
    <w:rsid w:val="00DA337D"/>
    <w:rsid w:val="00DA3664"/>
    <w:rsid w:val="00DA6954"/>
    <w:rsid w:val="00DA7EEA"/>
    <w:rsid w:val="00DB3A3E"/>
    <w:rsid w:val="00DB5E13"/>
    <w:rsid w:val="00DB622D"/>
    <w:rsid w:val="00DB6FCF"/>
    <w:rsid w:val="00DC2EEF"/>
    <w:rsid w:val="00DC4106"/>
    <w:rsid w:val="00DC5F25"/>
    <w:rsid w:val="00DD2FC3"/>
    <w:rsid w:val="00DD52C6"/>
    <w:rsid w:val="00DD5B76"/>
    <w:rsid w:val="00DE01DF"/>
    <w:rsid w:val="00DE4BD8"/>
    <w:rsid w:val="00DE5136"/>
    <w:rsid w:val="00DE5B14"/>
    <w:rsid w:val="00DE6752"/>
    <w:rsid w:val="00DE7B27"/>
    <w:rsid w:val="00DF0040"/>
    <w:rsid w:val="00DF0955"/>
    <w:rsid w:val="00DF0D12"/>
    <w:rsid w:val="00DF476A"/>
    <w:rsid w:val="00DF6F1B"/>
    <w:rsid w:val="00E0179A"/>
    <w:rsid w:val="00E043C8"/>
    <w:rsid w:val="00E122BA"/>
    <w:rsid w:val="00E12D0F"/>
    <w:rsid w:val="00E130D0"/>
    <w:rsid w:val="00E14393"/>
    <w:rsid w:val="00E15862"/>
    <w:rsid w:val="00E16531"/>
    <w:rsid w:val="00E20FC2"/>
    <w:rsid w:val="00E21995"/>
    <w:rsid w:val="00E22563"/>
    <w:rsid w:val="00E22933"/>
    <w:rsid w:val="00E2546A"/>
    <w:rsid w:val="00E25AD7"/>
    <w:rsid w:val="00E279EE"/>
    <w:rsid w:val="00E323C0"/>
    <w:rsid w:val="00E3362C"/>
    <w:rsid w:val="00E33A1A"/>
    <w:rsid w:val="00E3747D"/>
    <w:rsid w:val="00E37E9E"/>
    <w:rsid w:val="00E4134C"/>
    <w:rsid w:val="00E607D1"/>
    <w:rsid w:val="00E627A1"/>
    <w:rsid w:val="00E66638"/>
    <w:rsid w:val="00E759BE"/>
    <w:rsid w:val="00E800DA"/>
    <w:rsid w:val="00E8019A"/>
    <w:rsid w:val="00E80461"/>
    <w:rsid w:val="00E81D7E"/>
    <w:rsid w:val="00E81DD3"/>
    <w:rsid w:val="00E8732D"/>
    <w:rsid w:val="00E93803"/>
    <w:rsid w:val="00E94915"/>
    <w:rsid w:val="00E97FBB"/>
    <w:rsid w:val="00EA4381"/>
    <w:rsid w:val="00EA5AC3"/>
    <w:rsid w:val="00EA6052"/>
    <w:rsid w:val="00EA75BA"/>
    <w:rsid w:val="00EB0627"/>
    <w:rsid w:val="00EB6AD1"/>
    <w:rsid w:val="00EB71F5"/>
    <w:rsid w:val="00EC092E"/>
    <w:rsid w:val="00EC5481"/>
    <w:rsid w:val="00EC5BF1"/>
    <w:rsid w:val="00EE1DF4"/>
    <w:rsid w:val="00EE38B3"/>
    <w:rsid w:val="00EE62A3"/>
    <w:rsid w:val="00EF163D"/>
    <w:rsid w:val="00EF17D0"/>
    <w:rsid w:val="00EF19DD"/>
    <w:rsid w:val="00EF410D"/>
    <w:rsid w:val="00EF52A5"/>
    <w:rsid w:val="00EF75C5"/>
    <w:rsid w:val="00F0069E"/>
    <w:rsid w:val="00F03404"/>
    <w:rsid w:val="00F06915"/>
    <w:rsid w:val="00F06C9D"/>
    <w:rsid w:val="00F0767B"/>
    <w:rsid w:val="00F11522"/>
    <w:rsid w:val="00F1156A"/>
    <w:rsid w:val="00F11C6A"/>
    <w:rsid w:val="00F122EA"/>
    <w:rsid w:val="00F1281D"/>
    <w:rsid w:val="00F128F9"/>
    <w:rsid w:val="00F139B0"/>
    <w:rsid w:val="00F17D49"/>
    <w:rsid w:val="00F2063F"/>
    <w:rsid w:val="00F21D40"/>
    <w:rsid w:val="00F21ED7"/>
    <w:rsid w:val="00F226DE"/>
    <w:rsid w:val="00F23050"/>
    <w:rsid w:val="00F25142"/>
    <w:rsid w:val="00F25A8B"/>
    <w:rsid w:val="00F268D7"/>
    <w:rsid w:val="00F27242"/>
    <w:rsid w:val="00F3136A"/>
    <w:rsid w:val="00F32ADF"/>
    <w:rsid w:val="00F32C8B"/>
    <w:rsid w:val="00F368D7"/>
    <w:rsid w:val="00F44DBB"/>
    <w:rsid w:val="00F45330"/>
    <w:rsid w:val="00F45EC0"/>
    <w:rsid w:val="00F46635"/>
    <w:rsid w:val="00F46796"/>
    <w:rsid w:val="00F4737B"/>
    <w:rsid w:val="00F52CBA"/>
    <w:rsid w:val="00F53894"/>
    <w:rsid w:val="00F555B5"/>
    <w:rsid w:val="00F55A29"/>
    <w:rsid w:val="00F566BB"/>
    <w:rsid w:val="00F6143A"/>
    <w:rsid w:val="00F648F6"/>
    <w:rsid w:val="00F65984"/>
    <w:rsid w:val="00F7191E"/>
    <w:rsid w:val="00F7451F"/>
    <w:rsid w:val="00F7476A"/>
    <w:rsid w:val="00F761B6"/>
    <w:rsid w:val="00F764C9"/>
    <w:rsid w:val="00F8055A"/>
    <w:rsid w:val="00F81FCF"/>
    <w:rsid w:val="00F8445C"/>
    <w:rsid w:val="00F84BD0"/>
    <w:rsid w:val="00F90E97"/>
    <w:rsid w:val="00F92201"/>
    <w:rsid w:val="00F94D9B"/>
    <w:rsid w:val="00F963BC"/>
    <w:rsid w:val="00F976FA"/>
    <w:rsid w:val="00FA526D"/>
    <w:rsid w:val="00FA53EB"/>
    <w:rsid w:val="00FA71FE"/>
    <w:rsid w:val="00FB0DBD"/>
    <w:rsid w:val="00FB171F"/>
    <w:rsid w:val="00FB1D41"/>
    <w:rsid w:val="00FB62B2"/>
    <w:rsid w:val="00FC1F89"/>
    <w:rsid w:val="00FC234B"/>
    <w:rsid w:val="00FC474E"/>
    <w:rsid w:val="00FC6C6E"/>
    <w:rsid w:val="00FC787B"/>
    <w:rsid w:val="00FD4BC5"/>
    <w:rsid w:val="00FD5A95"/>
    <w:rsid w:val="00FD5F1A"/>
    <w:rsid w:val="00FD639C"/>
    <w:rsid w:val="00FD72F8"/>
    <w:rsid w:val="00FD766C"/>
    <w:rsid w:val="00FE063F"/>
    <w:rsid w:val="00FE25D3"/>
    <w:rsid w:val="00FE41CE"/>
    <w:rsid w:val="00FF046D"/>
    <w:rsid w:val="00FF0C5B"/>
    <w:rsid w:val="00FF0CF4"/>
    <w:rsid w:val="00FF4B43"/>
    <w:rsid w:val="00FF515B"/>
    <w:rsid w:val="00FF63E9"/>
    <w:rsid w:val="00FF6AB6"/>
    <w:rsid w:val="00FF6E45"/>
    <w:rsid w:val="01155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Times New Roman" w:cs="Times New Roman"/>
      <w:sz w:val="24"/>
      <w:szCs w:val="20"/>
      <w:lang w:val="en-GB" w:eastAsia="en-GB" w:bidi="ar-SA"/>
    </w:rPr>
  </w:style>
  <w:style w:type="paragraph" w:styleId="2">
    <w:name w:val="heading 1"/>
    <w:basedOn w:val="1"/>
    <w:next w:val="1"/>
    <w:link w:val="35"/>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3">
    <w:name w:val="heading 2"/>
    <w:basedOn w:val="1"/>
    <w:next w:val="1"/>
    <w:link w:val="36"/>
    <w:qFormat/>
    <w:uiPriority w:val="0"/>
    <w:pPr>
      <w:keepNext/>
      <w:outlineLvl w:val="1"/>
    </w:pPr>
    <w:rPr>
      <w:b/>
    </w:rPr>
  </w:style>
  <w:style w:type="paragraph" w:styleId="4">
    <w:name w:val="heading 3"/>
    <w:basedOn w:val="1"/>
    <w:next w:val="1"/>
    <w:link w:val="37"/>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5">
    <w:name w:val="heading 4"/>
    <w:basedOn w:val="1"/>
    <w:next w:val="1"/>
    <w:link w:val="38"/>
    <w:qFormat/>
    <w:uiPriority w:val="0"/>
    <w:pPr>
      <w:keepNext/>
      <w:outlineLvl w:val="3"/>
    </w:pPr>
    <w:rPr>
      <w:b/>
      <w:sz w:val="32"/>
      <w:u w:val="single"/>
    </w:rPr>
  </w:style>
  <w:style w:type="paragraph" w:styleId="6">
    <w:name w:val="heading 5"/>
    <w:basedOn w:val="1"/>
    <w:next w:val="1"/>
    <w:link w:val="39"/>
    <w:qFormat/>
    <w:uiPriority w:val="0"/>
    <w:pPr>
      <w:keepNext/>
      <w:widowControl w:val="0"/>
      <w:tabs>
        <w:tab w:val="left" w:pos="1145"/>
      </w:tabs>
      <w:outlineLvl w:val="4"/>
    </w:pPr>
    <w:rPr>
      <w:rFonts w:ascii="Comic Sans MS" w:hAnsi="Comic Sans MS"/>
      <w:b/>
    </w:rPr>
  </w:style>
  <w:style w:type="paragraph" w:styleId="7">
    <w:name w:val="heading 6"/>
    <w:basedOn w:val="1"/>
    <w:next w:val="1"/>
    <w:link w:val="40"/>
    <w:qFormat/>
    <w:uiPriority w:val="0"/>
    <w:pPr>
      <w:keepNext/>
      <w:jc w:val="center"/>
      <w:outlineLvl w:val="5"/>
    </w:pPr>
    <w:rPr>
      <w:b/>
      <w:lang w:val="en-US"/>
    </w:rPr>
  </w:style>
  <w:style w:type="paragraph" w:styleId="8">
    <w:name w:val="heading 7"/>
    <w:basedOn w:val="1"/>
    <w:next w:val="1"/>
    <w:link w:val="41"/>
    <w:qFormat/>
    <w:uiPriority w:val="0"/>
    <w:pPr>
      <w:keepNext/>
      <w:widowControl w:val="0"/>
      <w:tabs>
        <w:tab w:val="left" w:pos="1145"/>
      </w:tabs>
      <w:jc w:val="center"/>
      <w:outlineLvl w:val="6"/>
    </w:pPr>
    <w:rPr>
      <w:b/>
      <w:sz w:val="28"/>
      <w:u w:val="single"/>
      <w:lang w:val="en-US"/>
    </w:rPr>
  </w:style>
  <w:style w:type="paragraph" w:styleId="9">
    <w:name w:val="heading 8"/>
    <w:basedOn w:val="1"/>
    <w:next w:val="1"/>
    <w:link w:val="42"/>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12">
    <w:name w:val="Balloon Text"/>
    <w:basedOn w:val="1"/>
    <w:link w:val="56"/>
    <w:semiHidden/>
    <w:unhideWhenUsed/>
    <w:qFormat/>
    <w:uiPriority w:val="99"/>
    <w:rPr>
      <w:rFonts w:ascii="Tahoma" w:hAnsi="Tahoma"/>
      <w:sz w:val="16"/>
      <w:szCs w:val="16"/>
      <w:lang w:val="zh-CN" w:eastAsia="zh-CN"/>
    </w:rPr>
  </w:style>
  <w:style w:type="paragraph" w:styleId="13">
    <w:name w:val="Body Text"/>
    <w:basedOn w:val="1"/>
    <w:link w:val="43"/>
    <w:qFormat/>
    <w:uiPriority w:val="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14">
    <w:name w:val="Body Text 2"/>
    <w:basedOn w:val="1"/>
    <w:link w:val="46"/>
    <w:qFormat/>
    <w:uiPriority w:val="0"/>
    <w:rPr>
      <w:rFonts w:ascii="Comic Sans MS" w:hAnsi="Comic Sans MS"/>
      <w:b/>
    </w:rPr>
  </w:style>
  <w:style w:type="paragraph" w:styleId="15">
    <w:name w:val="Body Text 3"/>
    <w:basedOn w:val="1"/>
    <w:link w:val="45"/>
    <w:qFormat/>
    <w:uiPriority w:val="0"/>
    <w:rPr>
      <w:sz w:val="28"/>
    </w:rPr>
  </w:style>
  <w:style w:type="paragraph" w:styleId="16">
    <w:name w:val="Body Text Indent 2"/>
    <w:basedOn w:val="1"/>
    <w:link w:val="52"/>
    <w:semiHidden/>
    <w:unhideWhenUsed/>
    <w:qFormat/>
    <w:uiPriority w:val="99"/>
    <w:pPr>
      <w:spacing w:after="120" w:line="480" w:lineRule="auto"/>
      <w:ind w:left="283"/>
    </w:pPr>
    <w:rPr>
      <w:lang w:val="zh-CN" w:eastAsia="zh-CN"/>
    </w:rPr>
  </w:style>
  <w:style w:type="character" w:styleId="17">
    <w:name w:val="annotation reference"/>
    <w:semiHidden/>
    <w:qFormat/>
    <w:uiPriority w:val="0"/>
    <w:rPr>
      <w:sz w:val="16"/>
      <w:szCs w:val="16"/>
    </w:rPr>
  </w:style>
  <w:style w:type="paragraph" w:styleId="18">
    <w:name w:val="annotation text"/>
    <w:basedOn w:val="1"/>
    <w:link w:val="57"/>
    <w:semiHidden/>
    <w:qFormat/>
    <w:uiPriority w:val="0"/>
    <w:rPr>
      <w:sz w:val="20"/>
    </w:rPr>
  </w:style>
  <w:style w:type="paragraph" w:styleId="19">
    <w:name w:val="annotation subject"/>
    <w:basedOn w:val="18"/>
    <w:next w:val="18"/>
    <w:link w:val="58"/>
    <w:semiHidden/>
    <w:qFormat/>
    <w:uiPriority w:val="0"/>
    <w:rPr>
      <w:b/>
      <w:bCs/>
    </w:rPr>
  </w:style>
  <w:style w:type="character" w:styleId="20">
    <w:name w:val="Emphasis"/>
    <w:qFormat/>
    <w:uiPriority w:val="20"/>
    <w:rPr>
      <w:i/>
      <w:iCs/>
    </w:rPr>
  </w:style>
  <w:style w:type="character" w:styleId="21">
    <w:name w:val="endnote reference"/>
    <w:semiHidden/>
    <w:unhideWhenUsed/>
    <w:qFormat/>
    <w:uiPriority w:val="99"/>
    <w:rPr>
      <w:vertAlign w:val="superscript"/>
    </w:rPr>
  </w:style>
  <w:style w:type="paragraph" w:styleId="22">
    <w:name w:val="endnote text"/>
    <w:basedOn w:val="1"/>
    <w:link w:val="55"/>
    <w:semiHidden/>
    <w:unhideWhenUsed/>
    <w:qFormat/>
    <w:uiPriority w:val="99"/>
    <w:rPr>
      <w:sz w:val="20"/>
      <w:lang w:val="zh-CN" w:eastAsia="zh-CN"/>
    </w:rPr>
  </w:style>
  <w:style w:type="character" w:styleId="23">
    <w:name w:val="FollowedHyperlink"/>
    <w:qFormat/>
    <w:uiPriority w:val="0"/>
    <w:rPr>
      <w:color w:val="800080"/>
      <w:u w:val="single"/>
    </w:rPr>
  </w:style>
  <w:style w:type="paragraph" w:styleId="24">
    <w:name w:val="footer"/>
    <w:basedOn w:val="1"/>
    <w:link w:val="48"/>
    <w:qFormat/>
    <w:uiPriority w:val="99"/>
    <w:pPr>
      <w:tabs>
        <w:tab w:val="center" w:pos="4153"/>
        <w:tab w:val="right" w:pos="8306"/>
      </w:tabs>
    </w:pPr>
    <w:rPr>
      <w:rFonts w:ascii="Times New Roman" w:hAnsi="Times New Roman"/>
      <w:sz w:val="20"/>
    </w:rPr>
  </w:style>
  <w:style w:type="paragraph" w:styleId="25">
    <w:name w:val="header"/>
    <w:basedOn w:val="1"/>
    <w:link w:val="47"/>
    <w:qFormat/>
    <w:uiPriority w:val="0"/>
    <w:pPr>
      <w:tabs>
        <w:tab w:val="center" w:pos="4153"/>
        <w:tab w:val="right" w:pos="8306"/>
      </w:tabs>
    </w:pPr>
    <w:rPr>
      <w:rFonts w:ascii="Times New Roman" w:hAnsi="Times New Roman"/>
      <w:sz w:val="20"/>
    </w:rPr>
  </w:style>
  <w:style w:type="character" w:styleId="26">
    <w:name w:val="Hyperlink"/>
    <w:qFormat/>
    <w:uiPriority w:val="99"/>
    <w:rPr>
      <w:color w:val="0000FF"/>
      <w:u w:val="single"/>
    </w:rPr>
  </w:style>
  <w:style w:type="paragraph" w:styleId="27">
    <w:name w:val="Normal (Web)"/>
    <w:basedOn w:val="1"/>
    <w:qFormat/>
    <w:uiPriority w:val="99"/>
    <w:pPr>
      <w:spacing w:before="100" w:beforeAutospacing="1" w:after="100" w:afterAutospacing="1" w:line="336" w:lineRule="auto"/>
    </w:pPr>
    <w:rPr>
      <w:rFonts w:ascii="Times New Roman" w:hAnsi="Times New Roman"/>
      <w:szCs w:val="24"/>
    </w:rPr>
  </w:style>
  <w:style w:type="character" w:styleId="28">
    <w:name w:val="page number"/>
    <w:basedOn w:val="10"/>
    <w:qFormat/>
    <w:uiPriority w:val="0"/>
  </w:style>
  <w:style w:type="character" w:styleId="29">
    <w:name w:val="Strong"/>
    <w:qFormat/>
    <w:uiPriority w:val="22"/>
    <w:rPr>
      <w:b/>
      <w:bCs/>
    </w:rPr>
  </w:style>
  <w:style w:type="table" w:styleId="30">
    <w:name w:val="Table Grid"/>
    <w:basedOn w:val="11"/>
    <w:qFormat/>
    <w:uiPriority w:val="3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1">
    <w:name w:val="Title"/>
    <w:basedOn w:val="1"/>
    <w:link w:val="44"/>
    <w:qFormat/>
    <w:uiPriority w:val="0"/>
    <w:pPr>
      <w:jc w:val="center"/>
    </w:pPr>
    <w:rPr>
      <w:b/>
      <w:u w:val="single"/>
    </w:rPr>
  </w:style>
  <w:style w:type="paragraph" w:styleId="32">
    <w:name w:val="toc 1"/>
    <w:basedOn w:val="1"/>
    <w:next w:val="1"/>
    <w:unhideWhenUsed/>
    <w:qFormat/>
    <w:uiPriority w:val="39"/>
    <w:pPr>
      <w:spacing w:after="100"/>
    </w:pPr>
  </w:style>
  <w:style w:type="paragraph" w:styleId="33">
    <w:name w:val="toc 2"/>
    <w:basedOn w:val="1"/>
    <w:next w:val="1"/>
    <w:unhideWhenUsed/>
    <w:uiPriority w:val="39"/>
    <w:pPr>
      <w:spacing w:after="100"/>
      <w:ind w:left="240"/>
    </w:pPr>
  </w:style>
  <w:style w:type="paragraph" w:styleId="34">
    <w:name w:val="toc 3"/>
    <w:basedOn w:val="1"/>
    <w:next w:val="1"/>
    <w:unhideWhenUsed/>
    <w:qFormat/>
    <w:uiPriority w:val="39"/>
    <w:pPr>
      <w:spacing w:after="100"/>
      <w:ind w:left="480"/>
    </w:pPr>
  </w:style>
  <w:style w:type="character" w:customStyle="1" w:styleId="35">
    <w:name w:val="Heading 1 Char"/>
    <w:basedOn w:val="10"/>
    <w:link w:val="2"/>
    <w:qFormat/>
    <w:uiPriority w:val="0"/>
    <w:rPr>
      <w:rFonts w:ascii="Arial" w:hAnsi="Arial" w:eastAsia="Times New Roman" w:cs="Times New Roman"/>
      <w:b/>
      <w:sz w:val="28"/>
      <w:szCs w:val="20"/>
      <w:lang w:eastAsia="en-GB"/>
    </w:rPr>
  </w:style>
  <w:style w:type="character" w:customStyle="1" w:styleId="36">
    <w:name w:val="Heading 2 Char"/>
    <w:basedOn w:val="10"/>
    <w:link w:val="3"/>
    <w:qFormat/>
    <w:uiPriority w:val="0"/>
    <w:rPr>
      <w:rFonts w:ascii="Arial" w:hAnsi="Arial" w:eastAsia="Times New Roman" w:cs="Times New Roman"/>
      <w:b/>
      <w:sz w:val="24"/>
      <w:szCs w:val="20"/>
      <w:lang w:eastAsia="en-GB"/>
    </w:rPr>
  </w:style>
  <w:style w:type="character" w:customStyle="1" w:styleId="37">
    <w:name w:val="Heading 3 Char"/>
    <w:basedOn w:val="10"/>
    <w:link w:val="4"/>
    <w:qFormat/>
    <w:uiPriority w:val="0"/>
    <w:rPr>
      <w:rFonts w:ascii="Arial" w:hAnsi="Arial" w:eastAsia="Times New Roman" w:cs="Times New Roman"/>
      <w:sz w:val="24"/>
      <w:szCs w:val="20"/>
      <w:lang w:eastAsia="en-GB"/>
    </w:rPr>
  </w:style>
  <w:style w:type="character" w:customStyle="1" w:styleId="38">
    <w:name w:val="Heading 4 Char"/>
    <w:basedOn w:val="10"/>
    <w:link w:val="5"/>
    <w:qFormat/>
    <w:uiPriority w:val="0"/>
    <w:rPr>
      <w:rFonts w:ascii="Arial" w:hAnsi="Arial" w:eastAsia="Times New Roman" w:cs="Times New Roman"/>
      <w:b/>
      <w:sz w:val="32"/>
      <w:szCs w:val="20"/>
      <w:u w:val="single"/>
      <w:lang w:eastAsia="en-GB"/>
    </w:rPr>
  </w:style>
  <w:style w:type="character" w:customStyle="1" w:styleId="39">
    <w:name w:val="Heading 5 Char"/>
    <w:basedOn w:val="10"/>
    <w:link w:val="6"/>
    <w:qFormat/>
    <w:uiPriority w:val="0"/>
    <w:rPr>
      <w:rFonts w:ascii="Comic Sans MS" w:hAnsi="Comic Sans MS" w:eastAsia="Times New Roman" w:cs="Times New Roman"/>
      <w:b/>
      <w:sz w:val="24"/>
      <w:szCs w:val="20"/>
      <w:lang w:eastAsia="en-GB"/>
    </w:rPr>
  </w:style>
  <w:style w:type="character" w:customStyle="1" w:styleId="40">
    <w:name w:val="Heading 6 Char"/>
    <w:basedOn w:val="10"/>
    <w:link w:val="7"/>
    <w:qFormat/>
    <w:uiPriority w:val="0"/>
    <w:rPr>
      <w:rFonts w:ascii="Arial" w:hAnsi="Arial" w:eastAsia="Times New Roman" w:cs="Times New Roman"/>
      <w:b/>
      <w:sz w:val="24"/>
      <w:szCs w:val="20"/>
      <w:lang w:val="en-US" w:eastAsia="en-GB"/>
    </w:rPr>
  </w:style>
  <w:style w:type="character" w:customStyle="1" w:styleId="41">
    <w:name w:val="Heading 7 Char"/>
    <w:basedOn w:val="10"/>
    <w:link w:val="8"/>
    <w:qFormat/>
    <w:uiPriority w:val="0"/>
    <w:rPr>
      <w:rFonts w:ascii="Arial" w:hAnsi="Arial" w:eastAsia="Times New Roman" w:cs="Times New Roman"/>
      <w:b/>
      <w:sz w:val="28"/>
      <w:szCs w:val="20"/>
      <w:u w:val="single"/>
      <w:lang w:val="en-US" w:eastAsia="en-GB"/>
    </w:rPr>
  </w:style>
  <w:style w:type="character" w:customStyle="1" w:styleId="42">
    <w:name w:val="Heading 8 Char"/>
    <w:basedOn w:val="10"/>
    <w:link w:val="9"/>
    <w:qFormat/>
    <w:uiPriority w:val="0"/>
    <w:rPr>
      <w:rFonts w:ascii="Arial" w:hAnsi="Arial" w:eastAsia="Times New Roman" w:cs="Times New Roman"/>
      <w:b/>
      <w:color w:val="000000"/>
      <w:sz w:val="28"/>
      <w:szCs w:val="20"/>
      <w:lang w:eastAsia="en-GB"/>
    </w:rPr>
  </w:style>
  <w:style w:type="character" w:customStyle="1" w:styleId="43">
    <w:name w:val="Body Text Char"/>
    <w:basedOn w:val="10"/>
    <w:link w:val="13"/>
    <w:qFormat/>
    <w:uiPriority w:val="0"/>
    <w:rPr>
      <w:rFonts w:ascii="Arial" w:hAnsi="Arial" w:eastAsia="Times New Roman" w:cs="Times New Roman"/>
      <w:b/>
      <w:sz w:val="60"/>
      <w:szCs w:val="20"/>
      <w:lang w:eastAsia="en-GB"/>
    </w:rPr>
  </w:style>
  <w:style w:type="character" w:customStyle="1" w:styleId="44">
    <w:name w:val="Title Char"/>
    <w:basedOn w:val="10"/>
    <w:link w:val="31"/>
    <w:qFormat/>
    <w:uiPriority w:val="0"/>
    <w:rPr>
      <w:rFonts w:ascii="Arial" w:hAnsi="Arial" w:eastAsia="Times New Roman" w:cs="Times New Roman"/>
      <w:b/>
      <w:sz w:val="24"/>
      <w:szCs w:val="20"/>
      <w:u w:val="single"/>
      <w:lang w:eastAsia="en-GB"/>
    </w:rPr>
  </w:style>
  <w:style w:type="character" w:customStyle="1" w:styleId="45">
    <w:name w:val="Body Text 3 Char"/>
    <w:basedOn w:val="10"/>
    <w:link w:val="15"/>
    <w:qFormat/>
    <w:uiPriority w:val="0"/>
    <w:rPr>
      <w:rFonts w:ascii="Arial" w:hAnsi="Arial" w:eastAsia="Times New Roman" w:cs="Times New Roman"/>
      <w:sz w:val="28"/>
      <w:szCs w:val="20"/>
      <w:lang w:eastAsia="en-GB"/>
    </w:rPr>
  </w:style>
  <w:style w:type="character" w:customStyle="1" w:styleId="46">
    <w:name w:val="Body Text 2 Char"/>
    <w:basedOn w:val="10"/>
    <w:link w:val="14"/>
    <w:qFormat/>
    <w:uiPriority w:val="0"/>
    <w:rPr>
      <w:rFonts w:ascii="Comic Sans MS" w:hAnsi="Comic Sans MS" w:eastAsia="Times New Roman" w:cs="Times New Roman"/>
      <w:b/>
      <w:sz w:val="24"/>
      <w:szCs w:val="20"/>
      <w:lang w:eastAsia="en-GB"/>
    </w:rPr>
  </w:style>
  <w:style w:type="character" w:customStyle="1" w:styleId="47">
    <w:name w:val="Header Char"/>
    <w:basedOn w:val="10"/>
    <w:link w:val="25"/>
    <w:qFormat/>
    <w:uiPriority w:val="0"/>
    <w:rPr>
      <w:rFonts w:ascii="Times New Roman" w:hAnsi="Times New Roman" w:eastAsia="Times New Roman" w:cs="Times New Roman"/>
      <w:sz w:val="20"/>
      <w:szCs w:val="20"/>
      <w:lang w:eastAsia="en-GB"/>
    </w:rPr>
  </w:style>
  <w:style w:type="character" w:customStyle="1" w:styleId="48">
    <w:name w:val="Footer Char"/>
    <w:basedOn w:val="10"/>
    <w:link w:val="24"/>
    <w:qFormat/>
    <w:uiPriority w:val="99"/>
    <w:rPr>
      <w:rFonts w:ascii="Times New Roman" w:hAnsi="Times New Roman" w:eastAsia="Times New Roman" w:cs="Times New Roman"/>
      <w:sz w:val="20"/>
      <w:szCs w:val="20"/>
      <w:lang w:eastAsia="en-GB"/>
    </w:rPr>
  </w:style>
  <w:style w:type="paragraph" w:customStyle="1" w:styleId="49">
    <w:name w:val="Address/Contacts"/>
    <w:basedOn w:val="1"/>
    <w:qFormat/>
    <w:uiPriority w:val="0"/>
    <w:rPr>
      <w:sz w:val="20"/>
      <w:szCs w:val="24"/>
      <w:lang w:eastAsia="en-US"/>
    </w:rPr>
  </w:style>
  <w:style w:type="paragraph" w:customStyle="1" w:styleId="50">
    <w:name w:val="Char"/>
    <w:basedOn w:val="1"/>
    <w:qFormat/>
    <w:uiPriority w:val="0"/>
    <w:pPr>
      <w:spacing w:after="160" w:line="240" w:lineRule="exact"/>
    </w:pPr>
    <w:rPr>
      <w:rFonts w:ascii="Tahoma" w:hAnsi="Tahoma" w:cs="Tahoma"/>
      <w:sz w:val="20"/>
      <w:lang w:val="en-US" w:eastAsia="en-US"/>
    </w:rPr>
  </w:style>
  <w:style w:type="paragraph" w:customStyle="1" w:styleId="51">
    <w:name w:val="h2_mainheading"/>
    <w:basedOn w:val="1"/>
    <w:qFormat/>
    <w:uiPriority w:val="0"/>
    <w:pPr>
      <w:pBdr>
        <w:bottom w:val="single" w:color="0495DF" w:sz="6" w:space="0"/>
      </w:pBdr>
      <w:spacing w:before="100" w:beforeAutospacing="1" w:after="100" w:afterAutospacing="1" w:line="336" w:lineRule="auto"/>
    </w:pPr>
    <w:rPr>
      <w:rFonts w:ascii="Times New Roman" w:hAnsi="Times New Roman"/>
      <w:b/>
      <w:bCs/>
      <w:color w:val="50575B"/>
      <w:sz w:val="31"/>
      <w:szCs w:val="31"/>
    </w:rPr>
  </w:style>
  <w:style w:type="character" w:customStyle="1" w:styleId="52">
    <w:name w:val="Body Text Indent 2 Char"/>
    <w:basedOn w:val="10"/>
    <w:link w:val="16"/>
    <w:semiHidden/>
    <w:qFormat/>
    <w:uiPriority w:val="99"/>
    <w:rPr>
      <w:rFonts w:ascii="Arial" w:hAnsi="Arial" w:eastAsia="Times New Roman" w:cs="Times New Roman"/>
      <w:sz w:val="24"/>
      <w:szCs w:val="20"/>
      <w:lang w:val="zh-CN" w:eastAsia="zh-CN"/>
    </w:rPr>
  </w:style>
  <w:style w:type="paragraph" w:styleId="53">
    <w:name w:val="No Spacing"/>
    <w:qFormat/>
    <w:uiPriority w:val="1"/>
    <w:pPr>
      <w:spacing w:after="0" w:line="240" w:lineRule="auto"/>
    </w:pPr>
    <w:rPr>
      <w:rFonts w:ascii="Calibri" w:hAnsi="Calibri" w:eastAsia="Calibri" w:cs="Times New Roman"/>
      <w:sz w:val="22"/>
      <w:szCs w:val="22"/>
      <w:lang w:val="en-GB" w:eastAsia="en-GB" w:bidi="ar-SA"/>
    </w:rPr>
  </w:style>
  <w:style w:type="paragraph" w:customStyle="1" w:styleId="54">
    <w:name w:val="Default"/>
    <w:qFormat/>
    <w:uiPriority w:val="0"/>
    <w:pPr>
      <w:autoSpaceDE w:val="0"/>
      <w:autoSpaceDN w:val="0"/>
      <w:adjustRightInd w:val="0"/>
      <w:spacing w:after="0" w:line="240" w:lineRule="auto"/>
    </w:pPr>
    <w:rPr>
      <w:rFonts w:ascii="Arial" w:hAnsi="Arial" w:eastAsia="Times New Roman" w:cs="Arial"/>
      <w:color w:val="000000"/>
      <w:sz w:val="24"/>
      <w:szCs w:val="24"/>
      <w:lang w:val="en-GB" w:eastAsia="en-GB" w:bidi="ar-SA"/>
    </w:rPr>
  </w:style>
  <w:style w:type="character" w:customStyle="1" w:styleId="55">
    <w:name w:val="Endnote Text Char"/>
    <w:basedOn w:val="10"/>
    <w:link w:val="22"/>
    <w:semiHidden/>
    <w:qFormat/>
    <w:uiPriority w:val="99"/>
    <w:rPr>
      <w:rFonts w:ascii="Arial" w:hAnsi="Arial" w:eastAsia="Times New Roman" w:cs="Times New Roman"/>
      <w:sz w:val="20"/>
      <w:szCs w:val="20"/>
      <w:lang w:val="zh-CN" w:eastAsia="zh-CN"/>
    </w:rPr>
  </w:style>
  <w:style w:type="character" w:customStyle="1" w:styleId="56">
    <w:name w:val="Balloon Text Char"/>
    <w:basedOn w:val="10"/>
    <w:link w:val="12"/>
    <w:semiHidden/>
    <w:qFormat/>
    <w:uiPriority w:val="99"/>
    <w:rPr>
      <w:rFonts w:ascii="Tahoma" w:hAnsi="Tahoma" w:eastAsia="Times New Roman" w:cs="Times New Roman"/>
      <w:sz w:val="16"/>
      <w:szCs w:val="16"/>
      <w:lang w:val="zh-CN" w:eastAsia="zh-CN"/>
    </w:rPr>
  </w:style>
  <w:style w:type="character" w:customStyle="1" w:styleId="57">
    <w:name w:val="Comment Text Char"/>
    <w:basedOn w:val="10"/>
    <w:link w:val="18"/>
    <w:semiHidden/>
    <w:qFormat/>
    <w:uiPriority w:val="0"/>
    <w:rPr>
      <w:rFonts w:ascii="Arial" w:hAnsi="Arial" w:eastAsia="Times New Roman" w:cs="Times New Roman"/>
      <w:sz w:val="20"/>
      <w:szCs w:val="20"/>
      <w:lang w:eastAsia="en-GB"/>
    </w:rPr>
  </w:style>
  <w:style w:type="character" w:customStyle="1" w:styleId="58">
    <w:name w:val="Comment Subject Char"/>
    <w:basedOn w:val="57"/>
    <w:link w:val="19"/>
    <w:semiHidden/>
    <w:qFormat/>
    <w:uiPriority w:val="0"/>
    <w:rPr>
      <w:rFonts w:ascii="Arial" w:hAnsi="Arial" w:eastAsia="Times New Roman" w:cs="Times New Roman"/>
      <w:b/>
      <w:bCs/>
      <w:sz w:val="20"/>
      <w:szCs w:val="20"/>
      <w:lang w:eastAsia="en-GB"/>
    </w:rPr>
  </w:style>
  <w:style w:type="paragraph" w:customStyle="1" w:styleId="59">
    <w:name w:val="Bullets (spaced)"/>
    <w:basedOn w:val="1"/>
    <w:link w:val="60"/>
    <w:qFormat/>
    <w:uiPriority w:val="0"/>
    <w:pPr>
      <w:numPr>
        <w:ilvl w:val="0"/>
        <w:numId w:val="1"/>
      </w:numPr>
      <w:spacing w:before="120"/>
      <w:ind w:left="924" w:hanging="357"/>
    </w:pPr>
    <w:rPr>
      <w:rFonts w:ascii="Tahoma" w:hAnsi="Tahoma"/>
      <w:color w:val="000000"/>
      <w:szCs w:val="24"/>
      <w:lang w:eastAsia="en-US"/>
    </w:rPr>
  </w:style>
  <w:style w:type="character" w:customStyle="1" w:styleId="60">
    <w:name w:val="Bullets (spaced) Char"/>
    <w:link w:val="59"/>
    <w:qFormat/>
    <w:uiPriority w:val="0"/>
    <w:rPr>
      <w:rFonts w:ascii="Tahoma" w:hAnsi="Tahoma" w:eastAsia="Times New Roman" w:cs="Times New Roman"/>
      <w:color w:val="000000"/>
      <w:sz w:val="24"/>
      <w:szCs w:val="24"/>
    </w:rPr>
  </w:style>
  <w:style w:type="table" w:customStyle="1" w:styleId="61">
    <w:name w:val="Table Grid1"/>
    <w:basedOn w:val="11"/>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2">
    <w:name w:val="List Paragraph"/>
    <w:basedOn w:val="1"/>
    <w:qFormat/>
    <w:uiPriority w:val="34"/>
    <w:pPr>
      <w:ind w:left="720"/>
    </w:pPr>
  </w:style>
  <w:style w:type="character" w:customStyle="1" w:styleId="63">
    <w:name w:val="highlight1"/>
    <w:qFormat/>
    <w:uiPriority w:val="0"/>
    <w:rPr>
      <w:shd w:val="clear" w:color="auto" w:fill="FFFF40"/>
    </w:rPr>
  </w:style>
  <w:style w:type="character" w:customStyle="1" w:styleId="64">
    <w:name w:val="green1"/>
    <w:basedOn w:val="10"/>
    <w:qFormat/>
    <w:uiPriority w:val="0"/>
    <w:rPr>
      <w:b/>
      <w:bCs/>
      <w:color w:val="6EA241"/>
    </w:rPr>
  </w:style>
  <w:style w:type="character" w:customStyle="1" w:styleId="65">
    <w:name w:val="amber1"/>
    <w:basedOn w:val="10"/>
    <w:qFormat/>
    <w:uiPriority w:val="0"/>
    <w:rPr>
      <w:b/>
      <w:bCs/>
      <w:color w:val="E29413"/>
    </w:rPr>
  </w:style>
  <w:style w:type="character" w:customStyle="1" w:styleId="66">
    <w:name w:val="red1"/>
    <w:basedOn w:val="10"/>
    <w:qFormat/>
    <w:uiPriority w:val="0"/>
    <w:rPr>
      <w:b/>
      <w:bCs/>
      <w:color w:val="DD4323"/>
    </w:rPr>
  </w:style>
  <w:style w:type="paragraph" w:customStyle="1" w:styleId="67">
    <w:name w:val="Revision"/>
    <w:hidden/>
    <w:semiHidden/>
    <w:qFormat/>
    <w:uiPriority w:val="99"/>
    <w:pPr>
      <w:spacing w:after="0" w:line="240" w:lineRule="auto"/>
    </w:pPr>
    <w:rPr>
      <w:rFonts w:ascii="Arial" w:hAnsi="Arial" w:eastAsia="Times New Roman" w:cs="Times New Roman"/>
      <w:sz w:val="24"/>
      <w:szCs w:val="20"/>
      <w:lang w:val="en-GB" w:eastAsia="en-GB" w:bidi="ar-SA"/>
    </w:rPr>
  </w:style>
  <w:style w:type="paragraph" w:customStyle="1" w:styleId="68">
    <w:name w:val="TOC Heading"/>
    <w:basedOn w:val="2"/>
    <w:next w:val="1"/>
    <w:semiHidden/>
    <w:unhideWhenUsed/>
    <w:qFormat/>
    <w:uiPriority w:val="3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480" w:after="0"/>
      <w:jc w:val="left"/>
      <w:outlineLvl w:val="9"/>
    </w:pPr>
    <w:rPr>
      <w:rFonts w:asciiTheme="majorHAnsi" w:hAnsiTheme="majorHAnsi" w:eastAsiaTheme="majorEastAsia" w:cstheme="majorBidi"/>
      <w:bCs/>
      <w:color w:val="376092" w:themeColor="accent1" w:themeShade="BF"/>
      <w:szCs w:val="28"/>
      <w:lang w:val="en-US"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9A128-2D61-45A7-9E2E-93F55CF12DFB}">
  <ds:schemaRefs/>
</ds:datastoreItem>
</file>

<file path=docProps/app.xml><?xml version="1.0" encoding="utf-8"?>
<Properties xmlns="http://schemas.openxmlformats.org/officeDocument/2006/extended-properties" xmlns:vt="http://schemas.openxmlformats.org/officeDocument/2006/docPropsVTypes">
  <Template>Normal</Template>
  <Company>Luton Borough Council</Company>
  <Pages>44</Pages>
  <Words>13341</Words>
  <Characters>76049</Characters>
  <Lines>633</Lines>
  <Paragraphs>178</Paragraphs>
  <TotalTime>39</TotalTime>
  <ScaleCrop>false</ScaleCrop>
  <LinksUpToDate>false</LinksUpToDate>
  <CharactersWithSpaces>89212</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2020-10-08T14:34:00Z</dcterms:created>
  <dc:creator>Field, Melanie (GCSx)</dc:creator>
  <cp:lastModifiedBy>pre-school</cp:lastModifiedBy>
  <cp:lastPrinted>2022-02-01T10:46:00Z</cp:lastPrinted>
  <dcterms:modified xsi:type="dcterms:W3CDTF">2023-09-13T07:54:42Z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1AEF3631B3214288AF1FCD0E4DA6CE3E_13</vt:lpwstr>
  </property>
</Properties>
</file>